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Light" w:cs="Montserrat Light" w:eastAsia="Montserrat Light" w:hAnsi="Montserrat Light"/>
          <w:sz w:val="18"/>
          <w:szCs w:val="18"/>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w:cs="Montserrat" w:eastAsia="Montserrat" w:hAnsi="Montserrat"/>
          <w:b w:val="1"/>
          <w:bCs w:val="1"/>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2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1">
            <w:pPr>
              <w:ind w:left="4" w:hanging="6"/>
              <w:jc w:val="center"/>
              <w:rPr>
                <w:rFonts w:ascii="Noto Sans" w:cs="Noto Sans" w:eastAsia="Noto Sans" w:hAnsi="Noto Sans"/>
                <w:sz w:val="40"/>
                <w:szCs w:val="40"/>
                <w:highlight w:val="white"/>
              </w:rPr>
            </w:pPr>
            <w:r w:rsidDel="00000000" w:rsidR="00000000" w:rsidRPr="00000000">
              <w:rPr>
                <w:rFonts w:ascii="Noto Sans" w:cs="Noto Sans" w:eastAsia="Noto Sans" w:hAnsi="Noto Sans"/>
                <w:sz w:val="40"/>
                <w:szCs w:val="40"/>
                <w:highlight w:val="white"/>
                <w:rtl w:val="0"/>
              </w:rPr>
              <w:t xml:space="preserve">Adquisición y suministro de material de</w:t>
            </w:r>
          </w:p>
          <w:p w:rsidR="00000000" w:rsidDel="00000000" w:rsidP="00000000" w:rsidRDefault="00000000" w:rsidRPr="00000000" w14:paraId="00000012">
            <w:pPr>
              <w:ind w:left="4" w:hanging="6"/>
              <w:jc w:val="center"/>
              <w:rPr>
                <w:rFonts w:ascii="Noto Sans" w:cs="Noto Sans" w:eastAsia="Noto Sans" w:hAnsi="Noto Sans"/>
                <w:sz w:val="40"/>
                <w:szCs w:val="40"/>
                <w:highlight w:val="white"/>
              </w:rPr>
            </w:pPr>
            <w:r w:rsidDel="00000000" w:rsidR="00000000" w:rsidRPr="00000000">
              <w:rPr>
                <w:rFonts w:ascii="Noto Sans" w:cs="Noto Sans" w:eastAsia="Noto Sans" w:hAnsi="Noto Sans"/>
                <w:sz w:val="40"/>
                <w:szCs w:val="40"/>
                <w:highlight w:val="white"/>
                <w:rtl w:val="0"/>
              </w:rPr>
              <w:t xml:space="preserve">Terapia de presión negativa con Equipo en Comodato</w:t>
            </w:r>
          </w:p>
        </w:tc>
      </w:tr>
      <w:tr>
        <w:trPr>
          <w:cantSplit w:val="0"/>
          <w:tblHeader w:val="0"/>
        </w:trPr>
        <w:tc>
          <w:tcPr>
            <w:tcBorders>
              <w:top w:color="000000" w:space="0" w:sz="4" w:val="single"/>
            </w:tcBorders>
          </w:tcPr>
          <w:p w:rsidR="00000000" w:rsidDel="00000000" w:rsidP="00000000" w:rsidRDefault="00000000" w:rsidRPr="00000000" w14:paraId="00000013">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Términos y Condiciones</w:t>
            </w:r>
          </w:p>
          <w:p w:rsidR="00000000" w:rsidDel="00000000" w:rsidP="00000000" w:rsidRDefault="00000000" w:rsidRPr="00000000" w14:paraId="00000014">
            <w:pPr>
              <w:ind w:left="4" w:hanging="6"/>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15">
            <w:pPr>
              <w:ind w:left="4" w:hanging="6"/>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16">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Hospital Regional de Alta Especialidad del Bajío</w:t>
            </w:r>
          </w:p>
        </w:tc>
      </w:tr>
    </w:tbl>
    <w:p w:rsidR="00000000" w:rsidDel="00000000" w:rsidP="00000000" w:rsidRDefault="00000000" w:rsidRPr="00000000" w14:paraId="00000017">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8">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9">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A">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B">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C">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D">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E">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F">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0">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1">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2">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3">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4">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5">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6">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7">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left"/>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VIGENCIA DEL CONTRATO</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Montserrat Light" w:cs="Montserrat Light" w:eastAsia="Montserrat Light" w:hAnsi="Montserrat Light"/>
          <w:b w:val="1"/>
          <w:bCs w:val="1"/>
          <w:sz w:val="20"/>
          <w:szCs w:val="20"/>
          <w:highlight w:val="white"/>
        </w:rPr>
      </w:pPr>
      <w:r w:rsidDel="00000000" w:rsidR="00000000" w:rsidRPr="00000000">
        <w:rPr>
          <w:rFonts w:ascii="Montserrat Light" w:cs="Montserrat Light" w:eastAsia="Montserrat Light" w:hAnsi="Montserrat Light"/>
          <w:b w:val="1"/>
          <w:bCs w:val="1"/>
          <w:sz w:val="20"/>
          <w:szCs w:val="20"/>
          <w:highlight w:val="white"/>
          <w:rtl w:val="0"/>
        </w:rPr>
        <w:t xml:space="preserve"> La vigencia para la </w:t>
      </w:r>
      <w:r w:rsidDel="00000000" w:rsidR="00000000" w:rsidRPr="00000000">
        <w:rPr>
          <w:rFonts w:ascii="Montserrat" w:cs="Montserrat" w:eastAsia="Montserrat" w:hAnsi="Montserrat"/>
          <w:b w:val="1"/>
          <w:bCs w:val="1"/>
          <w:sz w:val="20"/>
          <w:szCs w:val="20"/>
          <w:highlight w:val="white"/>
          <w:rtl w:val="0"/>
        </w:rPr>
        <w:t xml:space="preserve">“Adquisición y suministro de material de Terapia de Presión Negativa con Equipo en Comodato”</w:t>
      </w:r>
      <w:r w:rsidDel="00000000" w:rsidR="00000000" w:rsidRPr="00000000">
        <w:rPr>
          <w:rFonts w:ascii="Montserrat Light" w:cs="Montserrat Light" w:eastAsia="Montserrat Light" w:hAnsi="Montserrat Light"/>
          <w:b w:val="1"/>
          <w:bCs w:val="1"/>
          <w:sz w:val="20"/>
          <w:szCs w:val="20"/>
          <w:highlight w:val="white"/>
          <w:rtl w:val="0"/>
        </w:rPr>
        <w:t xml:space="preserve">, será a partir del día natural siguiente de la notificación del fallo y/o adjudicación y hasta el 31 de diciembre del año 2026</w:t>
      </w:r>
    </w:p>
    <w:p w:rsidR="00000000" w:rsidDel="00000000" w:rsidP="00000000" w:rsidRDefault="00000000" w:rsidRPr="00000000" w14:paraId="0000002A">
      <w:pPr>
        <w:spacing w:after="240" w:before="240" w:lineRule="auto"/>
        <w:ind w:left="360" w:firstLine="0"/>
        <w:rPr>
          <w:rFonts w:ascii="Montserrat Light" w:cs="Montserrat Light" w:eastAsia="Montserrat Light" w:hAnsi="Montserrat Light"/>
          <w:sz w:val="20"/>
          <w:szCs w:val="20"/>
          <w:highlight w:val="green"/>
        </w:rPr>
      </w:pPr>
      <w:r w:rsidDel="00000000" w:rsidR="00000000" w:rsidRPr="00000000">
        <w:rPr>
          <w:rtl w:val="0"/>
        </w:rPr>
      </w:r>
    </w:p>
    <w:p w:rsidR="00000000" w:rsidDel="00000000" w:rsidP="00000000" w:rsidRDefault="00000000" w:rsidRPr="00000000" w14:paraId="0000002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left"/>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PLAZO, LUGAR Y CONDICIONES DE LA PRESTACIÓN DEL SERVICIO.</w:t>
      </w:r>
    </w:p>
    <w:p w:rsidR="00000000" w:rsidDel="00000000" w:rsidP="00000000" w:rsidRDefault="00000000" w:rsidRPr="00000000" w14:paraId="0000002C">
      <w:pPr>
        <w:spacing w:after="240" w:before="240" w:lineRule="auto"/>
        <w:ind w:left="360" w:firstLine="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PLAZO</w:t>
      </w:r>
    </w:p>
    <w:p w:rsidR="00000000" w:rsidDel="00000000" w:rsidP="00000000" w:rsidRDefault="00000000" w:rsidRPr="00000000" w14:paraId="0000002D">
      <w:pPr>
        <w:spacing w:after="240" w:before="240" w:lineRule="auto"/>
        <w:ind w:left="360" w:firstLine="0"/>
        <w:jc w:val="both"/>
        <w:rPr>
          <w:rFonts w:ascii="Montserrat Light" w:cs="Montserrat Light" w:eastAsia="Montserrat Light" w:hAnsi="Montserrat Light"/>
          <w:b w:val="1"/>
          <w:bCs w:val="1"/>
          <w:sz w:val="20"/>
          <w:szCs w:val="20"/>
          <w:highlight w:val="white"/>
        </w:rPr>
      </w:pPr>
      <w:r w:rsidDel="00000000" w:rsidR="00000000" w:rsidRPr="00000000">
        <w:rPr>
          <w:rFonts w:ascii="Montserrat Light" w:cs="Montserrat Light" w:eastAsia="Montserrat Light" w:hAnsi="Montserrat Light"/>
          <w:b w:val="1"/>
          <w:bCs w:val="1"/>
          <w:sz w:val="20"/>
          <w:szCs w:val="20"/>
          <w:highlight w:val="white"/>
          <w:rtl w:val="0"/>
        </w:rPr>
        <w:t xml:space="preserve">La primera entrega deberá realizarse dentro de los </w:t>
      </w:r>
      <w:r w:rsidDel="00000000" w:rsidR="00000000" w:rsidRPr="00000000">
        <w:rPr>
          <w:rFonts w:ascii="Noto Sans" w:cs="Noto Sans" w:eastAsia="Noto Sans" w:hAnsi="Noto Sans"/>
          <w:b w:val="1"/>
          <w:bCs w:val="1"/>
          <w:sz w:val="20"/>
          <w:szCs w:val="20"/>
          <w:highlight w:val="white"/>
          <w:rtl w:val="0"/>
        </w:rPr>
        <w:t xml:space="preserve">diez días naturales</w:t>
      </w:r>
      <w:r w:rsidDel="00000000" w:rsidR="00000000" w:rsidRPr="00000000">
        <w:rPr>
          <w:rFonts w:ascii="Montserrat Light" w:cs="Montserrat Light" w:eastAsia="Montserrat Light" w:hAnsi="Montserrat Light"/>
          <w:b w:val="1"/>
          <w:bCs w:val="1"/>
          <w:sz w:val="20"/>
          <w:szCs w:val="20"/>
          <w:highlight w:val="white"/>
          <w:rtl w:val="0"/>
        </w:rPr>
        <w:t xml:space="preserve"> contados a partir de la notificación del fallo y/o adjudicación la cual deberá corresponder al </w:t>
      </w:r>
      <w:r w:rsidDel="00000000" w:rsidR="00000000" w:rsidRPr="00000000">
        <w:rPr>
          <w:rFonts w:ascii="Noto Sans" w:cs="Noto Sans" w:eastAsia="Noto Sans" w:hAnsi="Noto Sans"/>
          <w:b w:val="1"/>
          <w:bCs w:val="1"/>
          <w:sz w:val="20"/>
          <w:szCs w:val="20"/>
          <w:highlight w:val="white"/>
          <w:rtl w:val="0"/>
        </w:rPr>
        <w:t xml:space="preserve">40%</w:t>
      </w:r>
      <w:r w:rsidDel="00000000" w:rsidR="00000000" w:rsidRPr="00000000">
        <w:rPr>
          <w:rFonts w:ascii="Montserrat Light" w:cs="Montserrat Light" w:eastAsia="Montserrat Light" w:hAnsi="Montserrat Light"/>
          <w:b w:val="1"/>
          <w:bCs w:val="1"/>
          <w:sz w:val="20"/>
          <w:szCs w:val="20"/>
          <w:highlight w:val="white"/>
          <w:rtl w:val="0"/>
        </w:rPr>
        <w:t xml:space="preserve"> de la cantidad máxima estipulada en el contrato, las siguientes entregas correspondientes al </w:t>
      </w:r>
      <w:r w:rsidDel="00000000" w:rsidR="00000000" w:rsidRPr="00000000">
        <w:rPr>
          <w:rFonts w:ascii="Noto Sans" w:cs="Noto Sans" w:eastAsia="Noto Sans" w:hAnsi="Noto Sans"/>
          <w:b w:val="1"/>
          <w:bCs w:val="1"/>
          <w:sz w:val="20"/>
          <w:szCs w:val="20"/>
          <w:highlight w:val="white"/>
          <w:rtl w:val="0"/>
        </w:rPr>
        <w:t xml:space="preserve">60%</w:t>
      </w:r>
      <w:r w:rsidDel="00000000" w:rsidR="00000000" w:rsidRPr="00000000">
        <w:rPr>
          <w:rFonts w:ascii="Montserrat Light" w:cs="Montserrat Light" w:eastAsia="Montserrat Light" w:hAnsi="Montserrat Light"/>
          <w:b w:val="1"/>
          <w:bCs w:val="1"/>
          <w:sz w:val="20"/>
          <w:szCs w:val="20"/>
          <w:highlight w:val="white"/>
          <w:rtl w:val="0"/>
        </w:rPr>
        <w:t xml:space="preserve"> deberán ser en entregas parciales conforme a las necesidades del organismo según se especifique en la orden de suministro emitida por el administrador del Contrato, dicha notificación podrá ser vía correo electrónico o vía telefónica.</w:t>
      </w:r>
    </w:p>
    <w:p w:rsidR="00000000" w:rsidDel="00000000" w:rsidP="00000000" w:rsidRDefault="00000000" w:rsidRPr="00000000" w14:paraId="0000002E">
      <w:pPr>
        <w:spacing w:after="240" w:before="240" w:lineRule="auto"/>
        <w:ind w:left="0" w:firstLine="0"/>
        <w:jc w:val="both"/>
        <w:rPr>
          <w:rFonts w:ascii="Montserrat Light" w:cs="Montserrat Light" w:eastAsia="Montserrat Light" w:hAnsi="Montserrat Light"/>
          <w:sz w:val="20"/>
          <w:szCs w:val="20"/>
          <w:highlight w:val="green"/>
        </w:rPr>
      </w:pP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tl w:val="0"/>
        </w:rPr>
      </w:r>
    </w:p>
    <w:p w:rsidR="00000000" w:rsidDel="00000000" w:rsidP="00000000" w:rsidRDefault="00000000" w:rsidRPr="00000000" w14:paraId="0000002F">
      <w:pPr>
        <w:spacing w:after="240" w:before="240" w:lineRule="auto"/>
        <w:ind w:left="360" w:firstLine="0"/>
        <w:jc w:val="both"/>
        <w:rPr>
          <w:rFonts w:ascii="Montserrat" w:cs="Montserrat" w:eastAsia="Montserrat" w:hAnsi="Montserrat"/>
          <w:b w:val="1"/>
          <w:bCs w:val="1"/>
          <w:sz w:val="20"/>
          <w:szCs w:val="20"/>
          <w:highlight w:val="white"/>
        </w:rPr>
      </w:pPr>
      <w:r w:rsidDel="00000000" w:rsidR="00000000" w:rsidRPr="00000000">
        <w:rPr>
          <w:rFonts w:ascii="Montserrat Light" w:cs="Montserrat Light" w:eastAsia="Montserrat Light" w:hAnsi="Montserrat Light"/>
          <w:b w:val="1"/>
          <w:bCs w:val="1"/>
          <w:sz w:val="20"/>
          <w:szCs w:val="20"/>
          <w:highlight w:val="white"/>
          <w:rtl w:val="0"/>
        </w:rPr>
        <w:t xml:space="preserve">LUGAR:</w:t>
      </w:r>
      <w:r w:rsidDel="00000000" w:rsidR="00000000" w:rsidRPr="00000000">
        <w:rPr>
          <w:rFonts w:ascii="Montserrat Light" w:cs="Montserrat Light" w:eastAsia="Montserrat Light" w:hAnsi="Montserrat Light"/>
          <w:sz w:val="20"/>
          <w:szCs w:val="20"/>
          <w:highlight w:val="white"/>
          <w:rtl w:val="0"/>
        </w:rPr>
        <w:t xml:space="preserve"> Los equipos médicos y consumibles, deberán entregarse en el almacén general del HRAEB, según el </w:t>
      </w:r>
      <w:r w:rsidDel="00000000" w:rsidR="00000000" w:rsidRPr="00000000">
        <w:rPr>
          <w:rFonts w:ascii="Montserrat" w:cs="Montserrat" w:eastAsia="Montserrat" w:hAnsi="Montserrat"/>
          <w:b w:val="1"/>
          <w:bCs w:val="1"/>
          <w:sz w:val="20"/>
          <w:szCs w:val="20"/>
          <w:highlight w:val="white"/>
          <w:rtl w:val="0"/>
        </w:rPr>
        <w:t xml:space="preserve">ANEXO 4 (CUATRO) “DIRECTORIO DE UNIDADES MÉDICAS”.</w:t>
      </w:r>
    </w:p>
    <w:p w:rsidR="00000000" w:rsidDel="00000000" w:rsidP="00000000" w:rsidRDefault="00000000" w:rsidRPr="00000000" w14:paraId="00000030">
      <w:pPr>
        <w:spacing w:after="240" w:before="240" w:lineRule="auto"/>
        <w:ind w:left="36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CONDICIONES:</w:t>
      </w:r>
      <w:r w:rsidDel="00000000" w:rsidR="00000000" w:rsidRPr="00000000">
        <w:rPr>
          <w:rFonts w:ascii="Montserrat Light" w:cs="Montserrat Light" w:eastAsia="Montserrat Light" w:hAnsi="Montserrat Light"/>
          <w:sz w:val="20"/>
          <w:szCs w:val="20"/>
          <w:rtl w:val="0"/>
        </w:rPr>
        <w:t xml:space="preserve"> Será responsabilidad del proveedor realizar por su cuenta propia las maniobras correspondientes para el transporte, la carga y descarga de los equipos médicos e insumos médicos en el lugar de entrega, así como lo relacionado con la instalación y la puesta en operación en el sitio designado por la Unidad Médica, sin costo adicional para el Organismo. Por consiguiente, la transportación, aseguramiento, cuidado y resguardo de los equipos médicos y los consumibles, es responsabilidad del proveedor de dicha adquisición con equipo en comodato  hasta que finalice, durante la vigencia del contrato.  </w:t>
      </w:r>
    </w:p>
    <w:p w:rsidR="00000000" w:rsidDel="00000000" w:rsidP="00000000" w:rsidRDefault="00000000" w:rsidRPr="00000000" w14:paraId="0000003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Montserrat" w:cs="Montserrat" w:eastAsia="Montserrat" w:hAnsi="Montserrat"/>
          <w:b w:val="1"/>
          <w:bCs w:val="1"/>
          <w:sz w:val="20"/>
          <w:szCs w:val="20"/>
          <w:rtl w:val="0"/>
        </w:rPr>
        <w:t xml:space="preserve">3 días naturales</w:t>
      </w:r>
      <w:r w:rsidDel="00000000" w:rsidR="00000000" w:rsidRPr="00000000">
        <w:rPr>
          <w:rFonts w:ascii="Montserrat Light" w:cs="Montserrat Light" w:eastAsia="Montserrat Light" w:hAnsi="Montserrat Light"/>
          <w:sz w:val="20"/>
          <w:szCs w:val="20"/>
          <w:rtl w:val="0"/>
        </w:rPr>
        <w:t xml:space="preserve"> de aviso al proveedor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32">
      <w:pPr>
        <w:spacing w:after="240" w:before="240"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Por otro lado, el responsable de la recepción de los equipos médicos y los consumibles será quien designe el Director de la Unidad Médica o la persona que designe el Organismo en su ausencia.</w:t>
      </w:r>
    </w:p>
    <w:p w:rsidR="00000000" w:rsidDel="00000000" w:rsidP="00000000" w:rsidRDefault="00000000" w:rsidRPr="00000000" w14:paraId="00000033">
      <w:pPr>
        <w:spacing w:after="240" w:before="240"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entrega, instalación y puesta a punto del equipo médico y los insumos médicos deberá realizarse conforme a lo establecido en el Anexo Técnico.</w:t>
      </w:r>
    </w:p>
    <w:p w:rsidR="00000000" w:rsidDel="00000000" w:rsidP="00000000" w:rsidRDefault="00000000" w:rsidRPr="00000000" w14:paraId="00000034">
      <w:pPr>
        <w:spacing w:after="240" w:before="240" w:lineRule="auto"/>
        <w:rPr>
          <w:rFonts w:ascii="Montserrat Light" w:cs="Montserrat Light" w:eastAsia="Montserrat Light" w:hAnsi="Montserrat Light"/>
          <w:sz w:val="20"/>
          <w:szCs w:val="20"/>
          <w:highlight w:val="green"/>
        </w:rPr>
      </w:pPr>
      <w:r w:rsidDel="00000000" w:rsidR="00000000" w:rsidRPr="00000000">
        <w:rPr>
          <w:rtl w:val="0"/>
        </w:rPr>
      </w:r>
    </w:p>
    <w:p w:rsidR="00000000" w:rsidDel="00000000" w:rsidP="00000000" w:rsidRDefault="00000000" w:rsidRPr="00000000" w14:paraId="0000003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este mismo sentido, el prestador del servicio deberá contar con la disponibilidad de tener al alcance para cada Unidad Médica un “Stock de Reserva” de estos consumibles, correspondiente a tener una reserva de estos bienes para 7 (siete) días naturales de consumo máximo de las partidas adjudicadas, a fin de poder atender cualquier eventualidad que se presente en la operación semanal durante la vigencia de la prestación del servicio.</w:t>
      </w:r>
    </w:p>
    <w:p w:rsidR="00000000" w:rsidDel="00000000" w:rsidP="00000000" w:rsidRDefault="00000000" w:rsidRPr="00000000" w14:paraId="00000036">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C) PROPUESTA DE CRITERIO DE EVALUACIÓN DE PROPOSICIONES CONFORME A LO DISPUESTO POR LOS ARTÍCULOS 51 de la LAASSP</w:t>
      </w:r>
      <w:r w:rsidDel="00000000" w:rsidR="00000000" w:rsidRPr="00000000">
        <w:rPr>
          <w:rFonts w:ascii="Montserrat" w:cs="Montserrat" w:eastAsia="Montserrat" w:hAnsi="Montserrat"/>
          <w:b w:val="1"/>
          <w:bCs w:val="1"/>
          <w:sz w:val="20"/>
          <w:szCs w:val="20"/>
          <w:rtl w:val="0"/>
        </w:rPr>
        <w:t xml:space="preserve">. </w:t>
      </w:r>
    </w:p>
    <w:p w:rsidR="00000000" w:rsidDel="00000000" w:rsidP="00000000" w:rsidRDefault="00000000" w:rsidRPr="00000000" w14:paraId="0000003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 fundamento en lo dispuesto por el artículo 51 de la Ley de Adquisiciones, Arrendamientos y Servicios del Sector Público, se evaluará mediante el criterio de </w:t>
      </w:r>
      <w:r w:rsidDel="00000000" w:rsidR="00000000" w:rsidRPr="00000000">
        <w:rPr>
          <w:rFonts w:ascii="Montserrat Light" w:cs="Montserrat Light" w:eastAsia="Montserrat Light" w:hAnsi="Montserrat Light"/>
          <w:b w:val="1"/>
          <w:bCs w:val="1"/>
          <w:sz w:val="20"/>
          <w:szCs w:val="20"/>
          <w:rtl w:val="0"/>
        </w:rPr>
        <w:t xml:space="preserve">evaluación </w:t>
      </w:r>
      <w:r w:rsidDel="00000000" w:rsidR="00000000" w:rsidRPr="00000000">
        <w:rPr>
          <w:rFonts w:ascii="Montserrat" w:cs="Montserrat" w:eastAsia="Montserrat" w:hAnsi="Montserrat"/>
          <w:b w:val="1"/>
          <w:bCs w:val="1"/>
          <w:sz w:val="20"/>
          <w:szCs w:val="20"/>
          <w:rtl w:val="0"/>
        </w:rPr>
        <w:t xml:space="preserve">BINARIO</w:t>
      </w:r>
      <w:r w:rsidDel="00000000" w:rsidR="00000000" w:rsidRPr="00000000">
        <w:rPr>
          <w:rFonts w:ascii="Montserrat Light" w:cs="Montserrat Light" w:eastAsia="Montserrat Light" w:hAnsi="Montserrat Light"/>
          <w:b w:val="1"/>
          <w:bCs w:val="1"/>
          <w:sz w:val="20"/>
          <w:szCs w:val="20"/>
          <w:rtl w:val="0"/>
        </w:rPr>
        <w:t xml:space="preserve">.</w:t>
      </w:r>
      <w:r w:rsidDel="00000000" w:rsidR="00000000" w:rsidRPr="00000000">
        <w:rPr>
          <w:rtl w:val="0"/>
        </w:rPr>
      </w:r>
    </w:p>
    <w:p w:rsidR="00000000" w:rsidDel="00000000" w:rsidP="00000000" w:rsidRDefault="00000000" w:rsidRPr="00000000" w14:paraId="0000003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corroborará la inclusión y legibilidad de la totalidad de la documentación técnica del licitante, remitida a través de la Plataforma de Compras MX, solicitada en el presente procedimiento, considerando las modificaciones que de estas deriven.</w:t>
      </w:r>
    </w:p>
    <w:p w:rsidR="00000000" w:rsidDel="00000000" w:rsidP="00000000" w:rsidRDefault="00000000" w:rsidRPr="00000000" w14:paraId="0000003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verificará la descripción técnica del servicio ofertado por el licitante, la cual deberá ser legible, amplia y detallada de los consumibles ofertados, conforme a lo solicitado en el Anexo Técnico, en el que el licitante deberá puntualizar las partidas en las que participa. Los consumibles solicitados para la prestación del servicio</w:t>
      </w:r>
    </w:p>
    <w:p w:rsidR="00000000" w:rsidDel="00000000" w:rsidP="00000000" w:rsidRDefault="00000000" w:rsidRPr="00000000" w14:paraId="0000003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3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comprobará la congruencia entre la descripción técnica del licitante, indicada en el </w:t>
      </w:r>
      <w:r w:rsidDel="00000000" w:rsidR="00000000" w:rsidRPr="00000000">
        <w:rPr>
          <w:rFonts w:ascii="Montserrat Light" w:cs="Montserrat Light" w:eastAsia="Montserrat Light" w:hAnsi="Montserrat Light"/>
          <w:b w:val="1"/>
          <w:bCs w:val="1"/>
          <w:sz w:val="20"/>
          <w:szCs w:val="20"/>
          <w:rtl w:val="0"/>
        </w:rPr>
        <w:t xml:space="preserve">ANEXO TÉCNICO, </w:t>
      </w:r>
      <w:r w:rsidDel="00000000" w:rsidR="00000000" w:rsidRPr="00000000">
        <w:rPr>
          <w:rFonts w:ascii="Montserrat Light" w:cs="Montserrat Light" w:eastAsia="Montserrat Light" w:hAnsi="Montserrat Light"/>
          <w:sz w:val="20"/>
          <w:szCs w:val="20"/>
          <w:rtl w:val="0"/>
        </w:rPr>
        <w:t xml:space="preserve">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3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3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LICENCIAS, PERMISOS, REGISTROS, CERTIFICADOS O AUTORIZACIONES QUE DEBEN CUMPLIR O APLICARSE AL BIEN O SERVICIO A CONTRATAR.</w:t>
      </w: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3E">
      <w:pPr>
        <w:spacing w:after="240" w:before="240" w:lineRule="auto"/>
        <w:ind w:left="36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acompañar su propuesta técnica con copia simple de la documentación vigente que a continuación se señala:</w:t>
      </w:r>
    </w:p>
    <w:p w:rsidR="00000000" w:rsidDel="00000000" w:rsidP="00000000" w:rsidRDefault="00000000" w:rsidRPr="00000000" w14:paraId="0000003F">
      <w:pPr>
        <w:spacing w:after="240" w:before="240" w:lineRule="auto"/>
        <w:ind w:left="1440" w:hanging="7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b w:val="1"/>
          <w:bCs w:val="1"/>
          <w:sz w:val="20"/>
          <w:szCs w:val="20"/>
          <w:highlight w:val="white"/>
          <w:rtl w:val="0"/>
        </w:rPr>
        <w:t xml:space="preserve">I.</w:t>
      </w:r>
      <w:r w:rsidDel="00000000" w:rsidR="00000000" w:rsidRPr="00000000">
        <w:rPr>
          <w:rFonts w:ascii="Times New Roman" w:cs="Times New Roman" w:eastAsia="Times New Roman" w:hAnsi="Times New Roman"/>
          <w:sz w:val="14"/>
          <w:szCs w:val="14"/>
          <w:highlight w:val="white"/>
          <w:rtl w:val="0"/>
        </w:rPr>
        <w:t xml:space="preserve">                </w:t>
      </w:r>
      <w:r w:rsidDel="00000000" w:rsidR="00000000" w:rsidRPr="00000000">
        <w:rPr>
          <w:rFonts w:ascii="Montserrat" w:cs="Montserrat" w:eastAsia="Montserrat" w:hAnsi="Montserrat"/>
          <w:sz w:val="20"/>
          <w:szCs w:val="20"/>
          <w:highlight w:val="white"/>
          <w:rtl w:val="0"/>
        </w:rPr>
        <w:t xml:space="preserve">Para Fabricantes y Distribuidores de Otros Insumos para la Salud:</w:t>
      </w:r>
    </w:p>
    <w:p w:rsidR="00000000" w:rsidDel="00000000" w:rsidP="00000000" w:rsidRDefault="00000000" w:rsidRPr="00000000" w14:paraId="00000040">
      <w:pPr>
        <w:spacing w:after="240" w:before="240" w:lineRule="auto"/>
        <w:ind w:left="1760" w:hanging="700"/>
        <w:jc w:val="both"/>
        <w:rPr>
          <w:rFonts w:ascii="Montserrat" w:cs="Montserrat" w:eastAsia="Montserrat" w:hAnsi="Montserra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w:t>
      </w:r>
      <w:r w:rsidDel="00000000" w:rsidR="00000000" w:rsidRPr="00000000">
        <w:rPr>
          <w:rFonts w:ascii="Times New Roman" w:cs="Times New Roman" w:eastAsia="Times New Roman" w:hAnsi="Times New Roman"/>
          <w:sz w:val="14"/>
          <w:szCs w:val="14"/>
          <w:highlight w:val="white"/>
          <w:rtl w:val="0"/>
        </w:rPr>
        <w:t xml:space="preserve">                     </w:t>
      </w:r>
      <w:r w:rsidDel="00000000" w:rsidR="00000000" w:rsidRPr="00000000">
        <w:rPr>
          <w:rFonts w:ascii="Montserrat" w:cs="Montserrat" w:eastAsia="Montserrat" w:hAnsi="Montserrat"/>
          <w:sz w:val="20"/>
          <w:szCs w:val="20"/>
          <w:highlight w:val="white"/>
          <w:rtl w:val="0"/>
        </w:rPr>
        <w:t xml:space="preserve">Aviso de Funcionamiento y/o Licencia Sanitaria.</w:t>
      </w:r>
    </w:p>
    <w:p w:rsidR="00000000" w:rsidDel="00000000" w:rsidP="00000000" w:rsidRDefault="00000000" w:rsidRPr="00000000" w14:paraId="00000041">
      <w:pPr>
        <w:spacing w:after="240" w:before="240" w:lineRule="auto"/>
        <w:ind w:left="1760" w:hanging="70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2">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ab/>
      </w:r>
      <w:r w:rsidDel="00000000" w:rsidR="00000000" w:rsidRPr="00000000">
        <w:rPr>
          <w:rFonts w:ascii="Montserrat Light" w:cs="Montserrat Light" w:eastAsia="Montserrat Light" w:hAnsi="Montserrat Light"/>
          <w:b w:val="1"/>
          <w:bCs w:val="1"/>
          <w:sz w:val="20"/>
          <w:szCs w:val="20"/>
          <w:rtl w:val="0"/>
        </w:rPr>
        <w:t xml:space="preserve">Registros sanitarios:</w:t>
      </w:r>
    </w:p>
    <w:p w:rsidR="00000000" w:rsidDel="00000000" w:rsidP="00000000" w:rsidRDefault="00000000" w:rsidRPr="00000000" w14:paraId="0000004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4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Número de registro, prórroga o modificación.</w:t>
      </w:r>
    </w:p>
    <w:p w:rsidR="00000000" w:rsidDel="00000000" w:rsidP="00000000" w:rsidRDefault="00000000" w:rsidRPr="00000000" w14:paraId="0000004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Titular del registro.</w:t>
      </w:r>
    </w:p>
    <w:p w:rsidR="00000000" w:rsidDel="00000000" w:rsidP="00000000" w:rsidRDefault="00000000" w:rsidRPr="00000000" w14:paraId="0000004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Nombre y domicilio del fabricante.</w:t>
      </w:r>
    </w:p>
    <w:p w:rsidR="00000000" w:rsidDel="00000000" w:rsidP="00000000" w:rsidRDefault="00000000" w:rsidRPr="00000000" w14:paraId="0000004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Indicaciones de uso y/o descripción.</w:t>
      </w:r>
    </w:p>
    <w:p w:rsidR="00000000" w:rsidDel="00000000" w:rsidP="00000000" w:rsidRDefault="00000000" w:rsidRPr="00000000" w14:paraId="0000004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Modelo(s).</w:t>
      </w:r>
    </w:p>
    <w:p w:rsidR="00000000" w:rsidDel="00000000" w:rsidP="00000000" w:rsidRDefault="00000000" w:rsidRPr="00000000" w14:paraId="0000004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Fecha de emisión y de vencimiento.</w:t>
      </w:r>
    </w:p>
    <w:p w:rsidR="00000000" w:rsidDel="00000000" w:rsidP="00000000" w:rsidRDefault="00000000" w:rsidRPr="00000000" w14:paraId="0000004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Nombre, firma autógrafa y cargo del servidor público que la emite.</w:t>
      </w:r>
    </w:p>
    <w:p w:rsidR="00000000" w:rsidDel="00000000" w:rsidP="00000000" w:rsidRDefault="00000000" w:rsidRPr="00000000" w14:paraId="0000004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4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1.</w:t>
      </w:r>
      <w:r w:rsidDel="00000000" w:rsidR="00000000" w:rsidRPr="00000000">
        <w:rPr>
          <w:rFonts w:ascii="Montserrat Light" w:cs="Montserrat Light" w:eastAsia="Montserrat Light" w:hAnsi="Montserrat Light"/>
          <w:sz w:val="20"/>
          <w:szCs w:val="20"/>
          <w:rtl w:val="0"/>
        </w:rPr>
        <w:t xml:space="preserve">        Copia simple del Registro Sanitario sometido a prórroga.</w:t>
      </w:r>
    </w:p>
    <w:p w:rsidR="00000000" w:rsidDel="00000000" w:rsidP="00000000" w:rsidRDefault="00000000" w:rsidRPr="00000000" w14:paraId="0000004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2.</w:t>
      </w:r>
      <w:r w:rsidDel="00000000" w:rsidR="00000000" w:rsidRPr="00000000">
        <w:rPr>
          <w:rFonts w:ascii="Montserrat Light" w:cs="Montserrat Light" w:eastAsia="Montserrat Light" w:hAnsi="Montserrat Light"/>
          <w:sz w:val="20"/>
          <w:szCs w:val="20"/>
          <w:rtl w:val="0"/>
        </w:rPr>
        <w:t xml:space="preserve">       Copia simple del comprobante del trámite de prórroga del Registro Sanitario, presentado ante la COFEPRIS el cual deberá hacer referencia al número de registro sanitario al que pertenece.</w:t>
      </w:r>
    </w:p>
    <w:p w:rsidR="00000000" w:rsidDel="00000000" w:rsidP="00000000" w:rsidRDefault="00000000" w:rsidRPr="00000000" w14:paraId="0000004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4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5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el caso de que algún equipo y/o insumos médicos, de origen Nacional o Internacional, el proveedor advierta que no requiere Registro Sanitario, deberá presentar, Carta de la COFEPRIS que no requiere registro sanitario, en el que identifique aquellos que oferte debidamente referenciado.</w:t>
      </w:r>
    </w:p>
    <w:p w:rsidR="00000000" w:rsidDel="00000000" w:rsidP="00000000" w:rsidRDefault="00000000" w:rsidRPr="00000000" w14:paraId="0000005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*Nota</w:t>
      </w:r>
      <w:r w:rsidDel="00000000" w:rsidR="00000000" w:rsidRPr="00000000">
        <w:rPr>
          <w:rFonts w:ascii="Montserrat Light" w:cs="Montserrat Light" w:eastAsia="Montserrat Light" w:hAnsi="Montserrat Light"/>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52">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 el Registro Sanitario vigente, prórroga del mismo o DOF (si fuera aplicable), será causal de desechamiento.</w:t>
      </w:r>
    </w:p>
    <w:p w:rsidR="00000000" w:rsidDel="00000000" w:rsidP="00000000" w:rsidRDefault="00000000" w:rsidRPr="00000000" w14:paraId="00000053">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Certificados de calidad.</w:t>
      </w:r>
    </w:p>
    <w:p w:rsidR="00000000" w:rsidDel="00000000" w:rsidP="00000000" w:rsidRDefault="00000000" w:rsidRPr="00000000" w14:paraId="0000005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Certificados de calidad. Copia simple del Certificado de Calidad </w:t>
      </w:r>
      <w:r w:rsidDel="00000000" w:rsidR="00000000" w:rsidRPr="00000000">
        <w:rPr>
          <w:rFonts w:ascii="Montserrat Light" w:cs="Montserrat Light" w:eastAsia="Montserrat Light" w:hAnsi="Montserrat Light"/>
          <w:sz w:val="20"/>
          <w:szCs w:val="20"/>
          <w:rtl w:val="0"/>
        </w:rPr>
        <w:t xml:space="preserve">ISO-13485:2016 a nombre del fabricante de </w:t>
      </w:r>
      <w:r w:rsidDel="00000000" w:rsidR="00000000" w:rsidRPr="00000000">
        <w:rPr>
          <w:rFonts w:ascii="Montserrat Light" w:cs="Montserrat Light" w:eastAsia="Montserrat Light" w:hAnsi="Montserrat Light"/>
          <w:sz w:val="20"/>
          <w:szCs w:val="20"/>
          <w:rtl w:val="0"/>
        </w:rPr>
        <w:t xml:space="preserve">cada bien que oferte (equipo e insumo médico)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5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presentarlo será causal de desechamiento.</w:t>
      </w:r>
      <w:r w:rsidDel="00000000" w:rsidR="00000000" w:rsidRPr="00000000">
        <w:rPr>
          <w:rtl w:val="0"/>
        </w:rPr>
      </w:r>
    </w:p>
    <w:p w:rsidR="00000000" w:rsidDel="00000000" w:rsidP="00000000" w:rsidRDefault="00000000" w:rsidRPr="00000000" w14:paraId="0000005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presentar escrito libre, en papel membretado, con la firma del representante legal, en el que manifieste que la empresa y su personal se obligan, durante la prestación del contrato y una vez adjudicado, a dar cumplimiento de las siguientes Normas Oficiales, que apliquen estrictamente a su actividad, así como favorecer el cumplimiento, por parte de la Unidad Médica, de aquellas Normas que, a través de dicha adquisición, se deban cumplir por parte de esta última.</w:t>
      </w:r>
    </w:p>
    <w:p w:rsidR="00000000" w:rsidDel="00000000" w:rsidP="00000000" w:rsidRDefault="00000000" w:rsidRPr="00000000" w14:paraId="00000057">
      <w:pPr>
        <w:spacing w:after="240" w:before="240" w:lineRule="auto"/>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NOM-197-SSA1-2000 – Requisitos mínimos de infraestructura y equipamiento de hospitales y consultorios.</w:t>
      </w:r>
    </w:p>
    <w:p w:rsidR="00000000" w:rsidDel="00000000" w:rsidP="00000000" w:rsidRDefault="00000000" w:rsidRPr="00000000" w14:paraId="00000058">
      <w:pPr>
        <w:spacing w:after="240" w:before="240" w:lineRule="auto"/>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NOM-016-SSA3-2012 – Características mínimas de infraestructura y equipamiento de hospitales/consultorios.</w:t>
      </w:r>
    </w:p>
    <w:p w:rsidR="00000000" w:rsidDel="00000000" w:rsidP="00000000" w:rsidRDefault="00000000" w:rsidRPr="00000000" w14:paraId="00000059">
      <w:pPr>
        <w:spacing w:after="240" w:before="240" w:lineRule="auto"/>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NOM-026-SSA3-2012 – Cirugía Mayor Ambulatoria (CMA).</w:t>
      </w:r>
    </w:p>
    <w:p w:rsidR="00000000" w:rsidDel="00000000" w:rsidP="00000000" w:rsidRDefault="00000000" w:rsidRPr="00000000" w14:paraId="0000005A">
      <w:pPr>
        <w:spacing w:after="240" w:before="240" w:lineRule="auto"/>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NOM-240-SSA1-2012 – Tecnovigilancia de dispositivos médicos.</w:t>
      </w:r>
    </w:p>
    <w:p w:rsidR="00000000" w:rsidDel="00000000" w:rsidP="00000000" w:rsidRDefault="00000000" w:rsidRPr="00000000" w14:paraId="0000005B">
      <w:pPr>
        <w:spacing w:after="240" w:before="240" w:lineRule="auto"/>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NOM-017-STPS-2008 – Equipo de protección personal.</w:t>
      </w:r>
    </w:p>
    <w:p w:rsidR="00000000" w:rsidDel="00000000" w:rsidP="00000000" w:rsidRDefault="00000000" w:rsidRPr="00000000" w14:paraId="0000005C">
      <w:pPr>
        <w:ind w:left="720" w:right="1140" w:firstLine="0"/>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 NOM-241- SSA1-2012. Buenas prácticas de fabricación para establecimientos</w:t>
      </w:r>
    </w:p>
    <w:p w:rsidR="00000000" w:rsidDel="00000000" w:rsidP="00000000" w:rsidRDefault="00000000" w:rsidRPr="00000000" w14:paraId="0000005D">
      <w:pPr>
        <w:ind w:left="720" w:right="1140" w:firstLine="0"/>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dedicados a la fabricación de dispositivos médicos.</w:t>
      </w:r>
    </w:p>
    <w:p w:rsidR="00000000" w:rsidDel="00000000" w:rsidP="00000000" w:rsidRDefault="00000000" w:rsidRPr="00000000" w14:paraId="0000005E">
      <w:pPr>
        <w:ind w:left="720" w:right="1140" w:firstLine="0"/>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5F">
      <w:pPr>
        <w:ind w:left="720" w:right="1140" w:firstLine="0"/>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NOM-137- SSA1-2008. Etiquetado de dispositivos médicos.</w:t>
      </w:r>
    </w:p>
    <w:p w:rsidR="00000000" w:rsidDel="00000000" w:rsidP="00000000" w:rsidRDefault="00000000" w:rsidRPr="00000000" w14:paraId="00000060">
      <w:pPr>
        <w:ind w:left="720" w:right="1140" w:firstLine="0"/>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61">
      <w:pPr>
        <w:ind w:left="720" w:right="1140" w:firstLine="0"/>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NOM-240-SSA1-2012. Instalación y Operación de la Tecnovigilancia.</w:t>
      </w:r>
    </w:p>
    <w:p w:rsidR="00000000" w:rsidDel="00000000" w:rsidP="00000000" w:rsidRDefault="00000000" w:rsidRPr="00000000" w14:paraId="00000062">
      <w:pPr>
        <w:spacing w:after="240" w:before="240" w:lineRule="auto"/>
        <w:jc w:val="both"/>
        <w:rPr>
          <w:rFonts w:ascii="Montserrat Light" w:cs="Montserrat Light" w:eastAsia="Montserrat Light" w:hAnsi="Montserrat Light"/>
          <w:sz w:val="20"/>
          <w:szCs w:val="20"/>
          <w:highlight w:val="green"/>
        </w:rPr>
      </w:pPr>
      <w:r w:rsidDel="00000000" w:rsidR="00000000" w:rsidRPr="00000000">
        <w:rPr>
          <w:rtl w:val="0"/>
        </w:rPr>
      </w:r>
    </w:p>
    <w:p w:rsidR="00000000" w:rsidDel="00000000" w:rsidP="00000000" w:rsidRDefault="00000000" w:rsidRPr="00000000" w14:paraId="00000063">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E) DOCUMENTACIÓN TÉCNICA NECESARIA COMO PUEDEN SER: FOLLETOS, CATÁLOGOS, FOTOGRAFÍAS, MANUALES ENTRE OTROS, EN CASO DE QUE SE REQUIERAN PARA COMPROBAR SUS ESPECIFICACIONES. </w:t>
      </w:r>
      <w:r w:rsidDel="00000000" w:rsidR="00000000" w:rsidRPr="00000000">
        <w:rPr>
          <w:rtl w:val="0"/>
        </w:rPr>
      </w:r>
    </w:p>
    <w:p w:rsidR="00000000" w:rsidDel="00000000" w:rsidP="00000000" w:rsidRDefault="00000000" w:rsidRPr="00000000" w14:paraId="0000006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p>
    <w:p w:rsidR="00000000" w:rsidDel="00000000" w:rsidP="00000000" w:rsidRDefault="00000000" w:rsidRPr="00000000" w14:paraId="0000006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66">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F) VISITAS A LAS INSTALACIONES INSTITUCIONALES, DONDE SE SUMINISTRARÁN O COLOCARÁN LOS BIENES O DONDE SE PRESTARÁN LOS SERVICIOS, EN SU CASO.</w:t>
      </w:r>
      <w:r w:rsidDel="00000000" w:rsidR="00000000" w:rsidRPr="00000000">
        <w:rPr>
          <w:rFonts w:ascii="Montserrat" w:cs="Montserrat" w:eastAsia="Montserrat" w:hAnsi="Montserrat"/>
          <w:b w:val="1"/>
          <w:bCs w:val="1"/>
          <w:sz w:val="20"/>
          <w:szCs w:val="20"/>
          <w:rtl w:val="0"/>
        </w:rPr>
        <w:t xml:space="preserve"> </w:t>
      </w:r>
    </w:p>
    <w:p w:rsidR="00000000" w:rsidDel="00000000" w:rsidP="00000000" w:rsidRDefault="00000000" w:rsidRPr="00000000" w14:paraId="0000006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068">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G) VISITA A LAS INSTALACIONES DE LOS PROVEEDORES</w:t>
      </w:r>
    </w:p>
    <w:p w:rsidR="00000000" w:rsidDel="00000000" w:rsidP="00000000" w:rsidRDefault="00000000" w:rsidRPr="00000000" w14:paraId="00000069">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rtl w:val="0"/>
        </w:rPr>
        <w:t xml:space="preserve">No aplica</w:t>
      </w:r>
      <w:r w:rsidDel="00000000" w:rsidR="00000000" w:rsidRPr="00000000">
        <w:rPr>
          <w:rtl w:val="0"/>
        </w:rPr>
      </w:r>
    </w:p>
    <w:p w:rsidR="00000000" w:rsidDel="00000000" w:rsidP="00000000" w:rsidRDefault="00000000" w:rsidRPr="00000000" w14:paraId="0000006A">
      <w:pPr>
        <w:spacing w:after="240" w:before="240" w:lineRule="auto"/>
        <w:jc w:val="both"/>
        <w:rPr>
          <w:rFonts w:ascii="Noto Sans" w:cs="Noto Sans" w:eastAsia="Noto Sans" w:hAnsi="Noto Sans"/>
          <w:b w:val="1"/>
          <w:bCs w:val="1"/>
          <w:color w:val="000000"/>
          <w:sz w:val="20"/>
          <w:szCs w:val="20"/>
          <w:highlight w:val="white"/>
        </w:rPr>
      </w:pPr>
      <w:r w:rsidDel="00000000" w:rsidR="00000000" w:rsidRPr="00000000">
        <w:rPr>
          <w:rFonts w:ascii="Noto Sans" w:cs="Noto Sans" w:eastAsia="Noto Sans" w:hAnsi="Noto Sans"/>
          <w:b w:val="1"/>
          <w:bCs w:val="1"/>
          <w:sz w:val="20"/>
          <w:szCs w:val="20"/>
          <w:highlight w:val="white"/>
          <w:rtl w:val="0"/>
        </w:rPr>
        <w:t xml:space="preserve">H) LAS PENAS CONVENCIONALES Y DEDUCCIONES AL PAGO DE CONFORMIDAD CON LO    DISPUESTO EN EL LINEAMIENTO 5.5.8 DE LAS POBALINES</w:t>
      </w:r>
      <w:r w:rsidDel="00000000" w:rsidR="00000000" w:rsidRPr="00000000">
        <w:rPr>
          <w:rtl w:val="0"/>
        </w:rPr>
      </w:r>
    </w:p>
    <w:p w:rsidR="00000000" w:rsidDel="00000000" w:rsidP="00000000" w:rsidRDefault="00000000" w:rsidRPr="00000000" w14:paraId="0000006B">
      <w:pPr>
        <w:spacing w:after="240" w:before="240" w:lineRule="auto"/>
        <w:jc w:val="both"/>
        <w:rPr>
          <w:rFonts w:ascii="Montserrat Light" w:cs="Montserrat Light" w:eastAsia="Montserrat Light" w:hAnsi="Montserrat Light"/>
          <w:sz w:val="20"/>
          <w:szCs w:val="20"/>
        </w:rPr>
      </w:pPr>
      <w:r w:rsidDel="00000000" w:rsidR="00000000" w:rsidRPr="00000000">
        <w:rPr>
          <w:rFonts w:ascii="Noto Sans" w:cs="Noto Sans" w:eastAsia="Noto Sans" w:hAnsi="Noto Sans"/>
          <w:b w:val="1"/>
          <w:bCs w:val="1"/>
          <w:color w:val="000000"/>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En todos los instrumentos jurídicos se establecerán </w:t>
      </w:r>
      <w:r w:rsidDel="00000000" w:rsidR="00000000" w:rsidRPr="00000000">
        <w:rPr>
          <w:rFonts w:ascii="Montserrat Light" w:cs="Montserrat Light" w:eastAsia="Montserrat Light" w:hAnsi="Montserrat Light"/>
          <w:b w:val="1"/>
          <w:bCs w:val="1"/>
          <w:sz w:val="20"/>
          <w:szCs w:val="20"/>
          <w:rtl w:val="0"/>
        </w:rPr>
        <w:t xml:space="preserve">penas convencionales</w:t>
      </w:r>
      <w:r w:rsidDel="00000000" w:rsidR="00000000" w:rsidRPr="00000000">
        <w:rPr>
          <w:rFonts w:ascii="Montserrat Light" w:cs="Montserrat Light" w:eastAsia="Montserrat Light" w:hAnsi="Montserrat Light"/>
          <w:sz w:val="20"/>
          <w:szCs w:val="20"/>
          <w:rtl w:val="0"/>
        </w:rPr>
        <w:t xml:space="preserve"> por </w:t>
      </w:r>
      <w:r w:rsidDel="00000000" w:rsidR="00000000" w:rsidRPr="00000000">
        <w:rPr>
          <w:rFonts w:ascii="Montserrat Light" w:cs="Montserrat Light" w:eastAsia="Montserrat Light" w:hAnsi="Montserrat Light"/>
          <w:b w:val="1"/>
          <w:bCs w:val="1"/>
          <w:sz w:val="20"/>
          <w:szCs w:val="20"/>
          <w:rtl w:val="0"/>
        </w:rPr>
        <w:t xml:space="preserve">atraso en el cumplimiento de la obligación contractual</w:t>
      </w:r>
      <w:r w:rsidDel="00000000" w:rsidR="00000000" w:rsidRPr="00000000">
        <w:rPr>
          <w:rFonts w:ascii="Montserrat Light" w:cs="Montserrat Light" w:eastAsia="Montserrat Light" w:hAnsi="Montserrat Light"/>
          <w:sz w:val="20"/>
          <w:szCs w:val="20"/>
          <w:rtl w:val="0"/>
        </w:rPr>
        <w:t xml:space="preserve">, así como en su caso, </w:t>
      </w:r>
      <w:r w:rsidDel="00000000" w:rsidR="00000000" w:rsidRPr="00000000">
        <w:rPr>
          <w:rFonts w:ascii="Montserrat Light" w:cs="Montserrat Light" w:eastAsia="Montserrat Light" w:hAnsi="Montserrat Light"/>
          <w:b w:val="1"/>
          <w:bCs w:val="1"/>
          <w:sz w:val="20"/>
          <w:szCs w:val="20"/>
          <w:rtl w:val="0"/>
        </w:rPr>
        <w:t xml:space="preserve">deducciones </w:t>
      </w:r>
      <w:r w:rsidDel="00000000" w:rsidR="00000000" w:rsidRPr="00000000">
        <w:rPr>
          <w:rFonts w:ascii="Montserrat Light" w:cs="Montserrat Light" w:eastAsia="Montserrat Light" w:hAnsi="Montserrat Light"/>
          <w:sz w:val="20"/>
          <w:szCs w:val="20"/>
          <w:rtl w:val="0"/>
        </w:rPr>
        <w:t xml:space="preserve">por </w:t>
      </w:r>
      <w:r w:rsidDel="00000000" w:rsidR="00000000" w:rsidRPr="00000000">
        <w:rPr>
          <w:rFonts w:ascii="Montserrat Light" w:cs="Montserrat Light" w:eastAsia="Montserrat Light" w:hAnsi="Montserrat Light"/>
          <w:b w:val="1"/>
          <w:bCs w:val="1"/>
          <w:sz w:val="20"/>
          <w:szCs w:val="20"/>
          <w:rtl w:val="0"/>
        </w:rPr>
        <w:t xml:space="preserve">incumplimiento total, parcial o deficiente</w:t>
      </w:r>
      <w:r w:rsidDel="00000000" w:rsidR="00000000" w:rsidRPr="00000000">
        <w:rPr>
          <w:rFonts w:ascii="Montserrat Light" w:cs="Montserrat Light" w:eastAsia="Montserrat Light" w:hAnsi="Montserrat Light"/>
          <w:sz w:val="20"/>
          <w:szCs w:val="20"/>
          <w:rtl w:val="0"/>
        </w:rPr>
        <w:t xml:space="preserve"> a cargo del licitante adjudicado.</w:t>
      </w:r>
    </w:p>
    <w:p w:rsidR="00000000" w:rsidDel="00000000" w:rsidP="00000000" w:rsidRDefault="00000000" w:rsidRPr="00000000" w14:paraId="0000006C">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Light" w:cs="Montserrat Light" w:eastAsia="Montserrat Light" w:hAnsi="Montserrat Light"/>
          <w:sz w:val="20"/>
          <w:szCs w:val="20"/>
          <w:rtl w:val="0"/>
        </w:rPr>
        <w:br w:type="textWrapping"/>
        <w:t xml:space="preserve">El rango de aplicación de las penas convencionales y deductivas para la prestación de la adquisición y suministro será del</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b w:val="1"/>
          <w:bCs w:val="1"/>
          <w:sz w:val="20"/>
          <w:szCs w:val="20"/>
          <w:rtl w:val="0"/>
        </w:rPr>
        <w:t xml:space="preserve">0.2% al 1%.</w:t>
      </w:r>
      <w:r w:rsidDel="00000000" w:rsidR="00000000" w:rsidRPr="00000000">
        <w:rPr>
          <w:rtl w:val="0"/>
        </w:rPr>
      </w:r>
    </w:p>
    <w:p w:rsidR="00000000" w:rsidDel="00000000" w:rsidP="00000000" w:rsidRDefault="00000000" w:rsidRPr="00000000" w14:paraId="0000006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PENAS CONVENCIONALES</w:t>
      </w:r>
      <w:r w:rsidDel="00000000" w:rsidR="00000000" w:rsidRPr="00000000">
        <w:rPr>
          <w:rtl w:val="0"/>
        </w:rPr>
      </w:r>
    </w:p>
    <w:p w:rsidR="00000000" w:rsidDel="00000000" w:rsidP="00000000" w:rsidRDefault="00000000" w:rsidRPr="00000000" w14:paraId="0000006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prestador del servicio, por atraso en el inicio de la prestación del servicio será del 1% (uno por ciento) por cada día de atraso, sobre el valor del concepto incumplido, entendiéndose este como su costo unitario incluido de la propuesta económica, lo cual no deberá exceder del importe de la garantía de cumplimiento del monto total del contrato, en caso de que se exceda se procederá a la rescisión del contrato correspondiente.</w:t>
      </w:r>
    </w:p>
    <w:tbl>
      <w:tblPr>
        <w:tblStyle w:val="Table2"/>
        <w:tblW w:w="10070.0" w:type="dxa"/>
        <w:jc w:val="left"/>
        <w:tblLayout w:type="fixed"/>
        <w:tblLook w:val="0400"/>
      </w:tblPr>
      <w:tblGrid>
        <w:gridCol w:w="3536"/>
        <w:gridCol w:w="2296"/>
        <w:gridCol w:w="1875"/>
        <w:gridCol w:w="2363"/>
        <w:tblGridChange w:id="0">
          <w:tblGrid>
            <w:gridCol w:w="3536"/>
            <w:gridCol w:w="2296"/>
            <w:gridCol w:w="1875"/>
            <w:gridCol w:w="2363"/>
          </w:tblGrid>
        </w:tblGridChange>
      </w:tblGrid>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Concepto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Unidad de medida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Penalización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Responsable del Cálculo, notificación de la pena</w:t>
            </w:r>
            <w:r w:rsidDel="00000000" w:rsidR="00000000" w:rsidRPr="00000000">
              <w:rPr>
                <w:rtl w:val="0"/>
              </w:rPr>
            </w:r>
          </w:p>
        </w:tc>
      </w:tr>
      <w:tr>
        <w:trPr>
          <w:cantSplit w:val="0"/>
          <w:trHeight w:val="27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Incumplimiento en la entrega de los </w:t>
            </w:r>
          </w:p>
          <w:p w:rsidR="00000000" w:rsidDel="00000000" w:rsidP="00000000" w:rsidRDefault="00000000" w:rsidRPr="00000000" w14:paraId="0000007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bienes de consumo en las </w:t>
            </w:r>
          </w:p>
          <w:p w:rsidR="00000000" w:rsidDel="00000000" w:rsidP="00000000" w:rsidRDefault="00000000" w:rsidRPr="00000000" w14:paraId="0000007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fechas solicitadas.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exceda la fecha establecida en</w:t>
            </w:r>
          </w:p>
          <w:p w:rsidR="00000000" w:rsidDel="00000000" w:rsidP="00000000" w:rsidRDefault="00000000" w:rsidRPr="00000000" w14:paraId="0000007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el Anexo Técnico.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1.0% sobre el valor total de </w:t>
            </w:r>
          </w:p>
          <w:p w:rsidR="00000000" w:rsidDel="00000000" w:rsidP="00000000" w:rsidRDefault="00000000" w:rsidRPr="00000000" w14:paraId="0000007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 incumplido, sin incluir el IVA.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Subdirección de Recursos Materiales del HRAEB</w:t>
            </w:r>
          </w:p>
        </w:tc>
      </w:tr>
    </w:tbl>
    <w:p w:rsidR="00000000" w:rsidDel="00000000" w:rsidP="00000000" w:rsidRDefault="00000000" w:rsidRPr="00000000" w14:paraId="0000007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Subdirección de Recursos Materiales  será el responsable de calcular y aplicar las penas convencionales, auxiliándose por la Dirección de enfermería y el Dirección de Operaciones de la Unidad Médica, en todos los casos se deberá determinar y documentar la causa por la cual el prestador del servicio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prestación del servicio.  La pena convencional se calculará conforme a lo siguiente:</w:t>
      </w:r>
    </w:p>
    <w:p w:rsidR="00000000" w:rsidDel="00000000" w:rsidP="00000000" w:rsidRDefault="00000000" w:rsidRPr="00000000" w14:paraId="0000007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Fórmula:</w:t>
      </w:r>
    </w:p>
    <w:p w:rsidR="00000000" w:rsidDel="00000000" w:rsidP="00000000" w:rsidRDefault="00000000" w:rsidRPr="00000000" w14:paraId="0000007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Pca = %d x nda x vspa. </w:t>
      </w:r>
    </w:p>
    <w:p w:rsidR="00000000" w:rsidDel="00000000" w:rsidP="00000000" w:rsidRDefault="00000000" w:rsidRPr="00000000" w14:paraId="0000007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Dónde: </w:t>
      </w:r>
    </w:p>
    <w:p w:rsidR="00000000" w:rsidDel="00000000" w:rsidP="00000000" w:rsidRDefault="00000000" w:rsidRPr="00000000" w14:paraId="0000007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%d=porcentaje determinado en la invitación, cotización, contrato o pedido por cada día de atraso en el inicio de la prestación del servicio. </w:t>
      </w:r>
    </w:p>
    <w:p w:rsidR="00000000" w:rsidDel="00000000" w:rsidP="00000000" w:rsidRDefault="00000000" w:rsidRPr="00000000" w14:paraId="0000008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Pca = pena convencional aplicable. </w:t>
      </w:r>
    </w:p>
    <w:p w:rsidR="00000000" w:rsidDel="00000000" w:rsidP="00000000" w:rsidRDefault="00000000" w:rsidRPr="00000000" w14:paraId="0000008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nda = número de días de atraso. </w:t>
      </w:r>
    </w:p>
    <w:p w:rsidR="00000000" w:rsidDel="00000000" w:rsidP="00000000" w:rsidRDefault="00000000" w:rsidRPr="00000000" w14:paraId="0000008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vspa = valor de los servicios prestados con atraso, sin IVA.</w:t>
      </w:r>
    </w:p>
    <w:p w:rsidR="00000000" w:rsidDel="00000000" w:rsidP="00000000" w:rsidRDefault="00000000" w:rsidRPr="00000000" w14:paraId="0000008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penalización se calculará a partir del día siguiente en que concluya el plazo establecido para el cumplimiento del concepto del servicio a sancionar, que deben realizarse previo al inicio de operación. En ningún caso se deberá de autorizar el pago de los servicios si no se ha determinado, calculado y notificado al prestador del servicio las penas convencionales aplicadas en términos de lo dispuesto en el contrato.</w:t>
      </w:r>
    </w:p>
    <w:p w:rsidR="00000000" w:rsidDel="00000000" w:rsidP="00000000" w:rsidRDefault="00000000" w:rsidRPr="00000000" w14:paraId="00000084">
      <w:pPr>
        <w:ind w:right="74"/>
        <w:jc w:val="both"/>
        <w:rPr>
          <w:rFonts w:ascii="Noto Sans" w:cs="Noto Sans" w:eastAsia="Noto Sans" w:hAnsi="Noto Sans"/>
          <w:sz w:val="20"/>
          <w:szCs w:val="20"/>
        </w:rPr>
      </w:pPr>
      <w:r w:rsidDel="00000000" w:rsidR="00000000" w:rsidRPr="00000000">
        <w:rPr>
          <w:rtl w:val="0"/>
        </w:rPr>
      </w:r>
    </w:p>
    <w:tbl>
      <w:tblPr>
        <w:tblStyle w:val="Table3"/>
        <w:tblW w:w="101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1260"/>
        <w:gridCol w:w="1335"/>
        <w:gridCol w:w="1440"/>
        <w:gridCol w:w="1635"/>
        <w:gridCol w:w="1575"/>
        <w:gridCol w:w="1290"/>
        <w:tblGridChange w:id="0">
          <w:tblGrid>
            <w:gridCol w:w="1635"/>
            <w:gridCol w:w="1260"/>
            <w:gridCol w:w="1335"/>
            <w:gridCol w:w="1440"/>
            <w:gridCol w:w="1635"/>
            <w:gridCol w:w="1575"/>
            <w:gridCol w:w="1290"/>
          </w:tblGrid>
        </w:tblGridChange>
      </w:tblGrid>
      <w:tr>
        <w:trPr>
          <w:cantSplit w:val="0"/>
          <w:trHeight w:val="862.199999999999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5">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6">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7">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8">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PENALIZACIÓN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9">
            <w:pPr>
              <w:spacing w:after="240" w:before="240" w:lineRule="auto"/>
              <w:ind w:left="-80" w:firstLine="0"/>
              <w:jc w:val="center"/>
              <w:rPr>
                <w:rFonts w:ascii="Noto Sans" w:cs="Noto Sans" w:eastAsia="Noto Sans" w:hAnsi="Noto Sans"/>
                <w:b w:val="1"/>
                <w:bCs w:val="1"/>
                <w:sz w:val="15"/>
                <w:szCs w:val="15"/>
                <w:highlight w:val="white"/>
              </w:rPr>
            </w:pPr>
            <w:r w:rsidDel="00000000" w:rsidR="00000000" w:rsidRPr="00000000">
              <w:rPr>
                <w:rFonts w:ascii="Noto Sans" w:cs="Noto Sans" w:eastAsia="Noto Sans" w:hAnsi="Noto Sans"/>
                <w:b w:val="1"/>
                <w:bCs w:val="1"/>
                <w:sz w:val="15"/>
                <w:szCs w:val="15"/>
                <w:highlight w:val="white"/>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A">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B">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DEL CÁLCULO, NOTIFICACIÓN DE LA PENA</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la primera entrega y subsecuentes conforme a lo establecido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 los bienes no entregados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0">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2201.2799999999993"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la entrega, instalación y puesta en operación del equipo médico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4">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dell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7">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A">
            <w:pPr>
              <w:spacing w:after="240" w:before="240" w:lineRule="auto"/>
              <w:ind w:left="-8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Por el atraso en la entrega del Programa de mantenimientos preventivos del equipo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E">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0">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2291.2799999999993"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Por el atraso en la entrega del programa de capacitación</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4">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5">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51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Atraso en el inicio de los mantenimientos preventivos de los equipos médicos en comodato de acuerdo con el programa de mantenimiento preventivo.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A">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C">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F">
            <w:pPr>
              <w:spacing w:after="240" w:before="240" w:lineRule="auto"/>
              <w:ind w:left="-12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el inicio de la capacitación para el uso del equipo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0">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3">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4">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6">
            <w:pPr>
              <w:spacing w:after="240" w:before="240" w:lineRule="auto"/>
              <w:ind w:left="-8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   Incumplimiento en el cambio de bienes y consumibles con caducidad menor a 18 meses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A">
            <w:pPr>
              <w:spacing w:after="240" w:before="240" w:lineRule="auto"/>
              <w:ind w:left="-80" w:firstLine="20"/>
              <w:jc w:val="both"/>
              <w:rPr>
                <w:rFonts w:ascii="Noto Sans" w:cs="Noto Sans" w:eastAsia="Noto Sans" w:hAnsi="Noto Sans"/>
                <w:sz w:val="15"/>
                <w:szCs w:val="15"/>
                <w:highlight w:val="white"/>
              </w:rPr>
            </w:pPr>
            <w:r w:rsidDel="00000000" w:rsidR="00000000" w:rsidRPr="00000000">
              <w:rPr>
                <w:rFonts w:ascii="Noto Sans" w:cs="Noto Sans" w:eastAsia="Noto Sans" w:hAnsi="Noto Sans"/>
                <w:sz w:val="15"/>
                <w:szCs w:val="15"/>
                <w:highlight w:val="white"/>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bl>
    <w:p w:rsidR="00000000" w:rsidDel="00000000" w:rsidP="00000000" w:rsidRDefault="00000000" w:rsidRPr="00000000" w14:paraId="000000BD">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E">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DEDUCCIONES</w:t>
      </w:r>
    </w:p>
    <w:p w:rsidR="00000000" w:rsidDel="00000000" w:rsidP="00000000" w:rsidRDefault="00000000" w:rsidRPr="00000000" w14:paraId="000000B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el procedimiento para la aplicación de las deducciones,  la Subdirección de Recursos Materiales será responsable de notificar, calcular y aplicar la deducción por concepto u obligación, nivel de servicio y unidad de medida, o bien el servidor público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Prestador del servicio es acreedor a una deductiva basada en la tabla de deducciones.  </w:t>
      </w:r>
    </w:p>
    <w:p w:rsidR="00000000" w:rsidDel="00000000" w:rsidP="00000000" w:rsidRDefault="00000000" w:rsidRPr="00000000" w14:paraId="000000C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deducciones al pago de servicios previstos en el artículo 76 de la LAASSP serán determinadas en función de los servicios prestados de manera parcial o deficiente por el</w:t>
      </w:r>
      <w:r w:rsidDel="00000000" w:rsidR="00000000" w:rsidRPr="00000000">
        <w:rPr>
          <w:rFonts w:ascii="Montserrat Light" w:cs="Montserrat Light" w:eastAsia="Montserrat Light" w:hAnsi="Montserrat Light"/>
          <w:sz w:val="20"/>
          <w:szCs w:val="20"/>
          <w:highlight w:val="white"/>
          <w:rtl w:val="0"/>
        </w:rPr>
        <w:t xml:space="preserve"> 1% (uno por ciento)</w:t>
      </w:r>
      <w:r w:rsidDel="00000000" w:rsidR="00000000" w:rsidRPr="00000000">
        <w:rPr>
          <w:rFonts w:ascii="Montserrat Light" w:cs="Montserrat Light" w:eastAsia="Montserrat Light" w:hAnsi="Montserrat Light"/>
          <w:sz w:val="20"/>
          <w:szCs w:val="20"/>
          <w:rtl w:val="0"/>
        </w:rPr>
        <w:t xml:space="preserve">.. Dichas deducciones deberán calcularse hasta la fecha en que materialmente se cumpla la obligación y sin que cada concepto de deducciones exceda a la parte proporcional de la garantía de cumplimiento que le corresponda del monto total del contrato, artículo 97 primer párrafo del RLAASSP.</w:t>
      </w:r>
    </w:p>
    <w:p w:rsidR="00000000" w:rsidDel="00000000" w:rsidP="00000000" w:rsidRDefault="00000000" w:rsidRPr="00000000" w14:paraId="000000C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montos por deducir se deberán aplicar en la factura que el prestador del servicio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C2">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3">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4">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6rvi8bkr4m7w" w:id="1"/>
      <w:bookmarkEnd w:id="1"/>
      <w:r w:rsidDel="00000000" w:rsidR="00000000" w:rsidRPr="00000000">
        <w:rPr>
          <w:rtl w:val="0"/>
        </w:rPr>
      </w:r>
    </w:p>
    <w:sdt>
      <w:sdtPr>
        <w:lock w:val="contentLocked"/>
        <w:id w:val="-501208267"/>
        <w:tag w:val="goog_rdk_0"/>
      </w:sdtPr>
      <w:sdtContent>
        <w:tbl>
          <w:tblPr>
            <w:tblStyle w:val="Table4"/>
            <w:tblW w:w="88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60"/>
            <w:gridCol w:w="1290"/>
            <w:gridCol w:w="1050"/>
            <w:gridCol w:w="1170"/>
            <w:gridCol w:w="1395"/>
            <w:gridCol w:w="1395"/>
            <w:gridCol w:w="1245"/>
            <w:tblGridChange w:id="0">
              <w:tblGrid>
                <w:gridCol w:w="1260"/>
                <w:gridCol w:w="1290"/>
                <w:gridCol w:w="1050"/>
                <w:gridCol w:w="1170"/>
                <w:gridCol w:w="1395"/>
                <w:gridCol w:w="1395"/>
                <w:gridCol w:w="1245"/>
              </w:tblGrid>
            </w:tblGridChange>
          </w:tblGrid>
          <w:tr>
            <w:trPr>
              <w:cantSplit w:val="0"/>
              <w:trHeight w:val="61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6">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7">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8">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9">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DEDUCCIÓN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A">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B">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CC">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RESPONSABLE DEL CÁLCULO, NOTIFICACIÓN DE LA PENA</w:t>
                </w:r>
              </w:p>
            </w:tc>
          </w:tr>
          <w:tr>
            <w:trPr>
              <w:cantSplit w:val="0"/>
              <w:trHeight w:val="16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D">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Incumplimiento en la entrega de bienes,  consumibles y equipo en comodato que no se apegue a las características técnicas solicitadas en el Anexo 1, Anexo 2 y Anexo 3.</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E">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F">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0">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1.0% sobre el valor total de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1">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2">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3">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Administrador de Contrato.</w:t>
                </w:r>
              </w:p>
            </w:tc>
          </w:tr>
          <w:tr>
            <w:trPr>
              <w:cantSplit w:val="0"/>
              <w:trHeight w:val="10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4">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Por la falta en la atención a los reportes en el caso de fallas del equipo médico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5">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Incumplimiento en la atención a los reportes de fallas.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6">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Cuando exceda la fecha de atención establecida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7">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1.0% sobre el valor total del monto del contrato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8">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9">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A">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Administrador de Contrato.</w:t>
                </w:r>
              </w:p>
            </w:tc>
          </w:tr>
          <w:tr>
            <w:trPr>
              <w:cantSplit w:val="0"/>
              <w:trHeight w:val="121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B">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Por la falta de reemplazo entrega de los bienes y equipo en comodato con defectos, fallas, riesgos o vicios ocultos en la calidad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C">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Falta de reemplazo de los bienes.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D">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Cuando exceda la fecha de atención establecida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E">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1.0% sobre el valor total del monto del contrato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F">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0">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1">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1"/>
                <w:bookmarkEnd w:id="1"/>
                <w:r w:rsidDel="00000000" w:rsidR="00000000" w:rsidRPr="00000000">
                  <w:rPr>
                    <w:rFonts w:ascii="Noto Sans" w:cs="Noto Sans" w:eastAsia="Noto Sans" w:hAnsi="Noto Sans"/>
                    <w:sz w:val="16"/>
                    <w:szCs w:val="16"/>
                    <w:rtl w:val="0"/>
                  </w:rPr>
                  <w:t xml:space="preserve">Administrador de Contrato.</w:t>
                </w:r>
              </w:p>
            </w:tc>
          </w:tr>
        </w:tbl>
      </w:sdtContent>
    </w:sdt>
    <w:p w:rsidR="00000000" w:rsidDel="00000000" w:rsidP="00000000" w:rsidRDefault="00000000" w:rsidRPr="00000000" w14:paraId="000000E2">
      <w:pPr>
        <w:pBdr>
          <w:top w:color="000000" w:space="0" w:sz="0" w:val="none"/>
          <w:left w:color="000000" w:space="0" w:sz="0" w:val="none"/>
          <w:bottom w:color="000000" w:space="0" w:sz="0" w:val="none"/>
          <w:right w:color="000000" w:space="0" w:sz="0" w:val="none"/>
          <w:between w:color="000000" w:space="0" w:sz="0" w:val="none"/>
        </w:pBdr>
        <w:jc w:val="both"/>
        <w:rPr>
          <w:rFonts w:ascii="Montserrat Light" w:cs="Montserrat Light" w:eastAsia="Montserrat Light" w:hAnsi="Montserrat Light"/>
          <w:sz w:val="20"/>
          <w:szCs w:val="20"/>
        </w:rPr>
      </w:pPr>
      <w:bookmarkStart w:colFirst="0" w:colLast="0" w:name="_heading=h.6rvi8bkr4m7w" w:id="1"/>
      <w:bookmarkEnd w:id="1"/>
      <w:r w:rsidDel="00000000" w:rsidR="00000000" w:rsidRPr="00000000">
        <w:rPr>
          <w:rtl w:val="0"/>
        </w:rPr>
      </w:r>
    </w:p>
    <w:p w:rsidR="00000000" w:rsidDel="00000000" w:rsidP="00000000" w:rsidRDefault="00000000" w:rsidRPr="00000000" w14:paraId="000000E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existir alguna deductiva se notificará por escrito al prestador del servicio.</w:t>
      </w:r>
    </w:p>
    <w:p w:rsidR="00000000" w:rsidDel="00000000" w:rsidP="00000000" w:rsidRDefault="00000000" w:rsidRPr="00000000" w14:paraId="000000E4">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I) DEVOLUCIÓN POR DEFECTOS, VICIOS OCULTOS DE LOS BIENES O DE LA CALIDAD DE LOS SERVICIOS</w:t>
      </w:r>
      <w:r w:rsidDel="00000000" w:rsidR="00000000" w:rsidRPr="00000000">
        <w:rPr>
          <w:rtl w:val="0"/>
        </w:rPr>
      </w:r>
    </w:p>
    <w:p w:rsidR="00000000" w:rsidDel="00000000" w:rsidP="00000000" w:rsidRDefault="00000000" w:rsidRPr="00000000" w14:paraId="000000E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durante la vigencia del contrato correspondiente, deberá responder por los defectos, fallas, riesgos o vicios ocultos tanto en la calidad de los insumos adjudicados y los efectivamente entregados, como por los defectos, fallas, riesgos o vicios ocultos que proporcione y que forman parte integral de los insumos adjudicados, deberá sustituirlos por otros de iguales características a las requeridas de manera inmediata en el procedimiento en caso de tratarse de claves por evento y hasta</w:t>
      </w:r>
      <w:r w:rsidDel="00000000" w:rsidR="00000000" w:rsidRPr="00000000">
        <w:rPr>
          <w:rFonts w:ascii="Montserrat Light" w:cs="Montserrat Light" w:eastAsia="Montserrat Light" w:hAnsi="Montserrat Light"/>
          <w:sz w:val="20"/>
          <w:szCs w:val="20"/>
          <w:highlight w:val="white"/>
          <w:rtl w:val="0"/>
        </w:rPr>
        <w:t xml:space="preserve"> </w:t>
      </w:r>
      <w:r w:rsidDel="00000000" w:rsidR="00000000" w:rsidRPr="00000000">
        <w:rPr>
          <w:rFonts w:ascii="Montserrat" w:cs="Montserrat" w:eastAsia="Montserrat" w:hAnsi="Montserrat"/>
          <w:b w:val="1"/>
          <w:bCs w:val="1"/>
          <w:sz w:val="20"/>
          <w:szCs w:val="20"/>
          <w:highlight w:val="white"/>
          <w:rtl w:val="0"/>
        </w:rPr>
        <w:t xml:space="preserve">3 días naturales</w:t>
      </w:r>
      <w:r w:rsidDel="00000000" w:rsidR="00000000" w:rsidRPr="00000000">
        <w:rPr>
          <w:rFonts w:ascii="Montserrat Light" w:cs="Montserrat Light" w:eastAsia="Montserrat Light" w:hAnsi="Montserrat Light"/>
          <w:sz w:val="20"/>
          <w:szCs w:val="20"/>
          <w:highlight w:val="white"/>
          <w:rtl w:val="0"/>
        </w:rPr>
        <w:t xml:space="preserve"> </w:t>
      </w:r>
      <w:r w:rsidDel="00000000" w:rsidR="00000000" w:rsidRPr="00000000">
        <w:rPr>
          <w:rFonts w:ascii="Montserrat Light" w:cs="Montserrat Light" w:eastAsia="Montserrat Light" w:hAnsi="Montserrat Light"/>
          <w:sz w:val="20"/>
          <w:szCs w:val="20"/>
          <w:rtl w:val="0"/>
        </w:rPr>
        <w:t xml:space="preserve">posteriores en caso de ya haber sido entregados, sin costo adicional para el Organismo posterior a la detección de la falla o defecto a la notificación por parte del Organismo.</w:t>
      </w:r>
    </w:p>
    <w:p w:rsidR="00000000" w:rsidDel="00000000" w:rsidP="00000000" w:rsidRDefault="00000000" w:rsidRPr="00000000" w14:paraId="000000E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deberá proporcionar en su oferta técnica número telefónico y correo electrónico en donde recibirán y atenderán las 24 horas del día, los 365 días del año, reportes por accidentes, defectos, fallas y/o descomposturas de los insumos adjudicados y/o de los equipos durante la asistencia técnica.</w:t>
      </w:r>
    </w:p>
    <w:p w:rsidR="00000000" w:rsidDel="00000000" w:rsidP="00000000" w:rsidRDefault="00000000" w:rsidRPr="00000000" w14:paraId="000000E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Además, el prestador del servicio se obliga a responder por su cuenta y riesgo de los daños y/o perjuicios que, por inobservancia o negligencia de su parte, llegue a causar al IMSS-BIENESTAR y/o a terceros.</w:t>
      </w:r>
    </w:p>
    <w:p w:rsidR="00000000" w:rsidDel="00000000" w:rsidP="00000000" w:rsidRDefault="00000000" w:rsidRPr="00000000" w14:paraId="000000E8">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J) GARANTÍA DE CUMPLIMIENTO</w:t>
      </w:r>
      <w:r w:rsidDel="00000000" w:rsidR="00000000" w:rsidRPr="00000000">
        <w:rPr>
          <w:rtl w:val="0"/>
        </w:rPr>
      </w:r>
    </w:p>
    <w:p w:rsidR="00000000" w:rsidDel="00000000" w:rsidP="00000000" w:rsidRDefault="00000000" w:rsidRPr="00000000" w14:paraId="000000E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se obliga a otorgar al Organismo, dentro de un plazo de 10 (diez) días naturales contados a partir de la firma del contrato en términos del artículo 69 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E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queda obligada a entregar al Organismo la póliza de fianza. </w:t>
      </w:r>
    </w:p>
    <w:p w:rsidR="00000000" w:rsidDel="00000000" w:rsidP="00000000" w:rsidRDefault="00000000" w:rsidRPr="00000000" w14:paraId="000000E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Dicha póliza de garantía de cumplimiento del contrato será devuelta al prestador de servicios una vez que el Organismo le otorgue autorización por escrito, para que éste pueda solicitar a la afianzadora correspondiente la cancelación de la fianza, autorización que se entregará al prestador del servicio,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p>
    <w:p w:rsidR="00000000" w:rsidDel="00000000" w:rsidP="00000000" w:rsidRDefault="00000000" w:rsidRPr="00000000" w14:paraId="000000E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GARANTÍA DEL SERVICIO</w:t>
      </w:r>
      <w:r w:rsidDel="00000000" w:rsidR="00000000" w:rsidRPr="00000000">
        <w:rPr>
          <w:rtl w:val="0"/>
        </w:rPr>
      </w:r>
    </w:p>
    <w:p w:rsidR="00000000" w:rsidDel="00000000" w:rsidP="00000000" w:rsidRDefault="00000000" w:rsidRPr="00000000" w14:paraId="000000ED">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No aplica</w:t>
      </w:r>
    </w:p>
    <w:p w:rsidR="00000000" w:rsidDel="00000000" w:rsidP="00000000" w:rsidRDefault="00000000" w:rsidRPr="00000000" w14:paraId="000000E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K) FORMA DE PAGO.</w:t>
      </w:r>
      <w:r w:rsidDel="00000000" w:rsidR="00000000" w:rsidRPr="00000000">
        <w:rPr>
          <w:rtl w:val="0"/>
        </w:rPr>
      </w:r>
    </w:p>
    <w:p w:rsidR="00000000" w:rsidDel="00000000" w:rsidP="00000000" w:rsidRDefault="00000000" w:rsidRPr="00000000" w14:paraId="000000E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 fundamento en el artículo 73 de la LAASSP y en el artículo 90 de su Reglamento, el pago por el servicio se cubrirá por parte del Organismo a través de transferencia electrónica en pesos de los Estados Unidos Mexicanos, a mes vencido, conforme a los insumos entregados y a entera satisfacción del Administrador del Contrato o el servidor público que éste designe para la supervisión, revisión y validación del servicio.</w:t>
      </w:r>
    </w:p>
    <w:p w:rsidR="00000000" w:rsidDel="00000000" w:rsidP="00000000" w:rsidRDefault="00000000" w:rsidRPr="00000000" w14:paraId="000000F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se realizará a mes vencido, en un plazo máximo de </w:t>
      </w:r>
      <w:r w:rsidDel="00000000" w:rsidR="00000000" w:rsidRPr="00000000">
        <w:rPr>
          <w:rFonts w:ascii="Montserrat" w:cs="Montserrat" w:eastAsia="Montserrat" w:hAnsi="Montserrat"/>
          <w:b w:val="1"/>
          <w:bCs w:val="1"/>
          <w:sz w:val="20"/>
          <w:szCs w:val="20"/>
          <w:rtl w:val="0"/>
        </w:rPr>
        <w:t xml:space="preserve">17 (diecisiete) días hábiles</w:t>
      </w:r>
      <w:r w:rsidDel="00000000" w:rsidR="00000000" w:rsidRPr="00000000">
        <w:rPr>
          <w:rFonts w:ascii="Montserrat Light" w:cs="Montserrat Light" w:eastAsia="Montserrat Light" w:hAnsi="Montserrat Light"/>
          <w:sz w:val="20"/>
          <w:szCs w:val="20"/>
          <w:rtl w:val="0"/>
        </w:rPr>
        <w:t xml:space="preserve"> siguientes, contados a partir de la fecha en que sea entregado y aceptado el Comprobante Fiscal Digital por Internet (CFDI) en el Organismo, para su aprobación. </w:t>
      </w:r>
    </w:p>
    <w:p w:rsidR="00000000" w:rsidDel="00000000" w:rsidP="00000000" w:rsidRDefault="00000000" w:rsidRPr="00000000" w14:paraId="000000F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cómputo del plazo para realizar el pago se contabilizará a partir del día hábil siguiente de la aceptación del CFDI, y ésta reúna los requisitos fiscales que establece la legislación en la materia, el desglose insumos entregados, los precios unitarios, se verifique su autenticidad, no existan aclaraciones al importe y vaya acompañada con la documentación soporte de la prestación de los servicios facturados.</w:t>
      </w:r>
    </w:p>
    <w:p w:rsidR="00000000" w:rsidDel="00000000" w:rsidP="00000000" w:rsidRDefault="00000000" w:rsidRPr="00000000" w14:paraId="000000F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artículo 90, del Reglamento de la LAASSP, en caso de que el CFDI entregado presente errores, en el Organismo, dentro de los 3 días hábiles siguientes de su recepción, indicará al proveedor adjudicado las deficiencias que deberá corregir; por lo que, el procedimiento de pago reiniciará en el momento en que el proveedor adjudicado presente el CFDI y/o documentos soporte corregidos y sean aceptados.</w:t>
      </w:r>
    </w:p>
    <w:p w:rsidR="00000000" w:rsidDel="00000000" w:rsidP="00000000" w:rsidRDefault="00000000" w:rsidRPr="00000000" w14:paraId="000000F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tiempo que el proveedor adjudicado utilice para la corrección del CFDI y/o documentación soporte entregada, no se computará para efectos de pago, de acuerdo con lo establecido en el artículo 73 de la LAASSP.</w:t>
      </w:r>
    </w:p>
    <w:p w:rsidR="00000000" w:rsidDel="00000000" w:rsidP="00000000" w:rsidRDefault="00000000" w:rsidRPr="00000000" w14:paraId="000000F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 el pago. El CFDI se deberá presentar desglosando el impuesto cuando aplique.</w:t>
      </w:r>
    </w:p>
    <w:p w:rsidR="00000000" w:rsidDel="00000000" w:rsidP="00000000" w:rsidRDefault="00000000" w:rsidRPr="00000000" w14:paraId="000000F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manifiesta su conformidad que, hasta en tanto no se cumpla con la verificación, supervisión y aceptación de la prestación de los servicios, no se tendrán como recibidos o aceptados por el Administrador del Contrato o el servidor público que éste designe.</w:t>
      </w:r>
    </w:p>
    <w:p w:rsidR="00000000" w:rsidDel="00000000" w:rsidP="00000000" w:rsidRDefault="00000000" w:rsidRPr="00000000" w14:paraId="000000F6">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efectos de trámite de pago, el proveedor adjudicado deberá ser titular de una cuenta bancaria, en la que se efectuará la transferencia electrónica de pago, respecto de la cual deberá proporcionar toda la información y documentación que le sea requerida por el Organismo, para efectos del pago. </w:t>
      </w:r>
    </w:p>
    <w:p w:rsidR="00000000" w:rsidDel="00000000" w:rsidP="00000000" w:rsidRDefault="00000000" w:rsidRPr="00000000" w14:paraId="000000F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0F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de la de los insumos recibidos quedará condicionado proporcionalmente al pago que el proveedor adjudicado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0F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0F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el proveedor adjudicado reciba pagos en exceso, de conformidad a lo dispuesto en el artículo 73 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0FC">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r w:rsidDel="00000000" w:rsidR="00000000" w:rsidRPr="00000000">
        <w:rPr>
          <w:rtl w:val="0"/>
        </w:rPr>
      </w:r>
    </w:p>
    <w:p w:rsidR="00000000" w:rsidDel="00000000" w:rsidP="00000000" w:rsidRDefault="00000000" w:rsidRPr="00000000" w14:paraId="000000F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Organismo podrá verificar en cualquier momento el cumplimiento de las condiciones pactadas en el contrato que se suscriba, como resultado del proceso de contratación de los insumos médicos, para la comprobación, supervisión y verificación el proveedor adjudicado deberá otorgar todas las facilidades necesarias al personal del Organismo.</w:t>
      </w:r>
    </w:p>
    <w:p w:rsidR="00000000" w:rsidDel="00000000" w:rsidP="00000000" w:rsidRDefault="00000000" w:rsidRPr="00000000" w14:paraId="000000F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0F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insumos adjudicados se tendrán por recibido previa revisión del administrador del contrato, la cual consistirá en la verificación del cumplimiento de las especificaciones establecidas y en su caso en los anexos respectivos.</w:t>
      </w:r>
    </w:p>
    <w:p w:rsidR="00000000" w:rsidDel="00000000" w:rsidP="00000000" w:rsidRDefault="00000000" w:rsidRPr="00000000" w14:paraId="00000100">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0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 OTORGAMIENTO DE ANTICIPO.  </w:t>
      </w:r>
      <w:r w:rsidDel="00000000" w:rsidR="00000000" w:rsidRPr="00000000">
        <w:rPr>
          <w:rtl w:val="0"/>
        </w:rPr>
      </w:r>
    </w:p>
    <w:p w:rsidR="00000000" w:rsidDel="00000000" w:rsidP="00000000" w:rsidRDefault="00000000" w:rsidRPr="00000000" w14:paraId="0000010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103">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r w:rsidDel="00000000" w:rsidR="00000000" w:rsidRPr="00000000">
        <w:rPr>
          <w:rtl w:val="0"/>
        </w:rPr>
      </w:r>
    </w:p>
    <w:p w:rsidR="00000000" w:rsidDel="00000000" w:rsidP="00000000" w:rsidRDefault="00000000" w:rsidRPr="00000000" w14:paraId="00000104">
      <w:pPr>
        <w:spacing w:after="240" w:before="240" w:lineRule="auto"/>
        <w:jc w:val="both"/>
        <w:rPr>
          <w:rFonts w:ascii="Montserrat" w:cs="Montserrat" w:eastAsia="Montserrat" w:hAnsi="Montserrat"/>
          <w:b w:val="1"/>
          <w:bCs w:val="1"/>
          <w:sz w:val="20"/>
          <w:szCs w:val="20"/>
          <w:highlight w:val="white"/>
        </w:rPr>
      </w:pPr>
      <w:r w:rsidDel="00000000" w:rsidR="00000000" w:rsidRPr="00000000">
        <w:rPr>
          <w:rFonts w:ascii="Montserrat Light" w:cs="Montserrat Light" w:eastAsia="Montserrat Light" w:hAnsi="Montserrat Light"/>
          <w:sz w:val="20"/>
          <w:szCs w:val="20"/>
          <w:rtl w:val="0"/>
        </w:rPr>
        <w:t xml:space="preserve">El proveedor adjudicado  se obliga a mantener estricta </w:t>
      </w:r>
      <w:r w:rsidDel="00000000" w:rsidR="00000000" w:rsidRPr="00000000">
        <w:rPr>
          <w:rFonts w:ascii="Montserrat Light" w:cs="Montserrat Light" w:eastAsia="Montserrat Light" w:hAnsi="Montserrat Light"/>
          <w:i w:val="1"/>
          <w:iCs w:val="1"/>
          <w:sz w:val="20"/>
          <w:szCs w:val="20"/>
          <w:rtl w:val="0"/>
        </w:rPr>
        <w:t xml:space="preserve">CONFIDENCIALIDAD </w:t>
      </w:r>
      <w:r w:rsidDel="00000000" w:rsidR="00000000" w:rsidRPr="00000000">
        <w:rPr>
          <w:rFonts w:ascii="Montserrat Light" w:cs="Montserrat Light" w:eastAsia="Montserrat Light" w:hAnsi="Montserrat Light"/>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prestador del servicio divulgue o transfiera los datos proporcionados a terceros, este será responsable de los posibles daños o perjuicios que se pudieran ocasionar al particular o al Organismo. Así mismo el prestador del servicio se obliga a implementar las medidas de seguridad necesarias para el resguardo de la información, de conformidad con el </w:t>
      </w:r>
      <w:r w:rsidDel="00000000" w:rsidR="00000000" w:rsidRPr="00000000">
        <w:rPr>
          <w:rFonts w:ascii="Montserrat" w:cs="Montserrat" w:eastAsia="Montserrat" w:hAnsi="Montserrat"/>
          <w:b w:val="1"/>
          <w:bCs w:val="1"/>
          <w:sz w:val="20"/>
          <w:szCs w:val="20"/>
          <w:highlight w:val="white"/>
          <w:rtl w:val="0"/>
        </w:rPr>
        <w:t xml:space="preserve">ANEXO 8 “ACUERDO DE CONFIDENCIALIDAD”.</w:t>
      </w:r>
    </w:p>
    <w:p w:rsidR="00000000" w:rsidDel="00000000" w:rsidP="00000000" w:rsidRDefault="00000000" w:rsidRPr="00000000" w14:paraId="0000010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 SEGURO DE RESPONSABILIDAD CIVIL.</w:t>
      </w:r>
      <w:r w:rsidDel="00000000" w:rsidR="00000000" w:rsidRPr="00000000">
        <w:rPr>
          <w:rtl w:val="0"/>
        </w:rPr>
      </w:r>
    </w:p>
    <w:p w:rsidR="00000000" w:rsidDel="00000000" w:rsidP="00000000" w:rsidRDefault="00000000" w:rsidRPr="00000000" w14:paraId="0000010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participante adjudicado deberá presentar una póliza de responsabilidad civil que cubra el 100% de los daños que puedan ser ocasionados al Organismo, sus instalaciones y a terceros, derivado de actos y/o hechos intencionales, imprudenciales, voluntarios o involuntarios, directamente o indirectamente relacionados con la ejecución de los servicios. Esta póliza deberá cubrir los daños materiales, personales y cualquier perjuicio ocasionado, así como las indemnizaciones correspondientes a los ocupantes permanentes o ocasionales, sus bienes y pertenencias, y la restitución de los perjuicios hasta su total satisfacción.</w:t>
      </w:r>
    </w:p>
    <w:p w:rsidR="00000000" w:rsidDel="00000000" w:rsidP="00000000" w:rsidRDefault="00000000" w:rsidRPr="00000000" w14:paraId="0000010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póliza deberá tener vigencia mínima equivalente al periodo de duración del contrato, y será entregada dentro de los 10 (diez) días naturales siguientes a la formalización del contrato.</w:t>
      </w:r>
    </w:p>
    <w:p w:rsidR="00000000" w:rsidDel="00000000" w:rsidP="00000000" w:rsidRDefault="00000000" w:rsidRPr="00000000" w14:paraId="0000010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Adicionalmente, la cobertura de la póliza deberá garantizar que se cubran todos los riesgos derivados de la ejecución de los servicios, incluyendo daños por demora, negligencia, o incumplimiento de las obligaciones asumidas por el adjudicatario. La cobertura deberá mantenerse vigente durante todo el periodo de ejecución del contrato, con las condiciones que se establezcan en el mismo, y será extensible a cualquier eventualidad que implique la responsabilidad del adjudicatario en la prestación de los servicios objeto de esta licitación.</w:t>
      </w:r>
    </w:p>
    <w:p w:rsidR="00000000" w:rsidDel="00000000" w:rsidP="00000000" w:rsidRDefault="00000000" w:rsidRPr="00000000" w14:paraId="00000109">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A">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B">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C">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D">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E">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 DICTÁMENES DE PROTECCIÓN CIVIL. (EN CASO DE APLICAR). Numeral 4.21.4, inciso p), de las POBALINES del IMSS BIENESTAR.</w:t>
      </w:r>
      <w:r w:rsidDel="00000000" w:rsidR="00000000" w:rsidRPr="00000000">
        <w:rPr>
          <w:rtl w:val="0"/>
        </w:rPr>
      </w:r>
    </w:p>
    <w:p w:rsidR="00000000" w:rsidDel="00000000" w:rsidP="00000000" w:rsidRDefault="00000000" w:rsidRPr="00000000" w14:paraId="00000110">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No aplica</w:t>
      </w:r>
    </w:p>
    <w:p w:rsidR="00000000" w:rsidDel="00000000" w:rsidP="00000000" w:rsidRDefault="00000000" w:rsidRPr="00000000" w14:paraId="00000111">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2">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3">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4">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5">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6">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7">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8">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19">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A">
      <w:pPr>
        <w:spacing w:after="240" w:before="240" w:lineRule="auto"/>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Gto, a 10 de noviembre  de 2025</w:t>
      </w:r>
    </w:p>
    <w:p w:rsidR="00000000" w:rsidDel="00000000" w:rsidP="00000000" w:rsidRDefault="00000000" w:rsidRPr="00000000" w14:paraId="0000011B">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tbl>
      <w:tblPr>
        <w:tblStyle w:val="Table5"/>
        <w:tblW w:w="10080.0" w:type="dxa"/>
        <w:jc w:val="center"/>
        <w:tblLayout w:type="fixed"/>
        <w:tblLook w:val="0400"/>
      </w:tblPr>
      <w:tblGrid>
        <w:gridCol w:w="5860"/>
        <w:gridCol w:w="4220"/>
        <w:tblGridChange w:id="0">
          <w:tblGrid>
            <w:gridCol w:w="5860"/>
            <w:gridCol w:w="4220"/>
          </w:tblGrid>
        </w:tblGridChange>
      </w:tblGrid>
      <w:tr>
        <w:trPr>
          <w:cantSplit w:val="0"/>
          <w:trHeight w:val="20" w:hRule="atLeast"/>
          <w:tblHeader w:val="0"/>
        </w:trPr>
        <w:tc>
          <w:tcPr>
            <w:tcMar>
              <w:top w:w="0.0" w:type="dxa"/>
              <w:left w:w="115.0" w:type="dxa"/>
              <w:bottom w:w="0.0" w:type="dxa"/>
              <w:right w:w="115.0" w:type="dxa"/>
            </w:tcMar>
            <w:vAlign w:val="center"/>
          </w:tcPr>
          <w:p w:rsidR="00000000" w:rsidDel="00000000" w:rsidP="00000000" w:rsidRDefault="00000000" w:rsidRPr="00000000" w14:paraId="0000011C">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 Daniel Omar Pérez Godínez</w:t>
            </w:r>
          </w:p>
          <w:p w:rsidR="00000000" w:rsidDel="00000000" w:rsidP="00000000" w:rsidRDefault="00000000" w:rsidRPr="00000000" w14:paraId="0000011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Subdirección de Atención a Quirófanos y Medicina Crítica </w:t>
            </w:r>
          </w:p>
          <w:p w:rsidR="00000000" w:rsidDel="00000000" w:rsidP="00000000" w:rsidRDefault="00000000" w:rsidRPr="00000000" w14:paraId="0000011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r>
          </w:p>
          <w:p w:rsidR="00000000" w:rsidDel="00000000" w:rsidP="00000000" w:rsidRDefault="00000000" w:rsidRPr="00000000" w14:paraId="0000011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ÁREA TÉCNICA</w:t>
            </w:r>
          </w:p>
          <w:p w:rsidR="00000000" w:rsidDel="00000000" w:rsidP="00000000" w:rsidRDefault="00000000" w:rsidRPr="00000000" w14:paraId="0000012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r>
          </w:p>
        </w:tc>
        <w:tc>
          <w:tcPr>
            <w:tcMar>
              <w:top w:w="0.0" w:type="dxa"/>
              <w:left w:w="115.0" w:type="dxa"/>
              <w:bottom w:w="0.0" w:type="dxa"/>
              <w:right w:w="115.0" w:type="dxa"/>
            </w:tcMar>
          </w:tcPr>
          <w:p w:rsidR="00000000" w:rsidDel="00000000" w:rsidP="00000000" w:rsidRDefault="00000000" w:rsidRPr="00000000" w14:paraId="00000121">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2">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 Jonathan León Anaya</w:t>
            </w:r>
          </w:p>
          <w:p w:rsidR="00000000" w:rsidDel="00000000" w:rsidP="00000000" w:rsidRDefault="00000000" w:rsidRPr="00000000" w14:paraId="0000012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Director de Operaciones</w:t>
            </w:r>
          </w:p>
          <w:p w:rsidR="00000000" w:rsidDel="00000000" w:rsidP="00000000" w:rsidRDefault="00000000" w:rsidRPr="00000000" w14:paraId="0000012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br w:type="textWrapping"/>
              <w:br w:type="textWrapping"/>
            </w:r>
          </w:p>
          <w:p w:rsidR="00000000" w:rsidDel="00000000" w:rsidP="00000000" w:rsidRDefault="00000000" w:rsidRPr="00000000" w14:paraId="0000012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ÁREA REQUIRENTE</w:t>
            </w:r>
          </w:p>
          <w:p w:rsidR="00000000" w:rsidDel="00000000" w:rsidP="00000000" w:rsidRDefault="00000000" w:rsidRPr="00000000" w14:paraId="00000126">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7">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MAHSS María del Carmen Muñoz Cardiel</w:t>
            </w:r>
          </w:p>
          <w:p w:rsidR="00000000" w:rsidDel="00000000" w:rsidP="00000000" w:rsidRDefault="00000000" w:rsidRPr="00000000" w14:paraId="0000012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Directora de Enfermería</w:t>
            </w:r>
          </w:p>
          <w:p w:rsidR="00000000" w:rsidDel="00000000" w:rsidP="00000000" w:rsidRDefault="00000000" w:rsidRPr="00000000" w14:paraId="00000129">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12A">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Dra. Rocío del Carmen Mendoza Trujillo</w:t>
      </w:r>
    </w:p>
    <w:p w:rsidR="00000000" w:rsidDel="00000000" w:rsidP="00000000" w:rsidRDefault="00000000" w:rsidRPr="00000000" w14:paraId="0000012B">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br w:type="textWrapping"/>
      </w:r>
    </w:p>
    <w:p w:rsidR="00000000" w:rsidDel="00000000" w:rsidP="00000000" w:rsidRDefault="00000000" w:rsidRPr="00000000" w14:paraId="0000012C">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Titular de la Coordinación del Hospital Regional de Alta</w:t>
      </w:r>
    </w:p>
    <w:p w:rsidR="00000000" w:rsidDel="00000000" w:rsidP="00000000" w:rsidRDefault="00000000" w:rsidRPr="00000000" w14:paraId="0000012D">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Especialidad del Bajío, adscrito a los Servicios de Salud</w:t>
      </w:r>
    </w:p>
    <w:p w:rsidR="00000000" w:rsidDel="00000000" w:rsidP="00000000" w:rsidRDefault="00000000" w:rsidRPr="00000000" w14:paraId="0000012E">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del Instituto Mexicano del Seguro Social para el Bienestar</w:t>
      </w:r>
    </w:p>
    <w:p w:rsidR="00000000" w:rsidDel="00000000" w:rsidP="00000000" w:rsidRDefault="00000000" w:rsidRPr="00000000" w14:paraId="0000012F">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0">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1">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7">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-457186</wp:posOffset>
          </wp:positionH>
          <wp:positionV relativeFrom="paragraph">
            <wp:posOffset>98694</wp:posOffset>
          </wp:positionV>
          <wp:extent cx="6715125" cy="732115"/>
          <wp:effectExtent b="0" l="0" r="0" t="0"/>
          <wp:wrapNone/>
          <wp:docPr id="107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39">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1454150</wp:posOffset>
              </wp:positionH>
              <wp:positionV relativeFrom="paragraph">
                <wp:posOffset>19050</wp:posOffset>
              </wp:positionV>
              <wp:extent cx="4469765" cy="342900"/>
              <wp:effectExtent b="0" l="0" r="0" t="0"/>
              <wp:wrapNone/>
              <wp:docPr id="1072"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1454150</wp:posOffset>
              </wp:positionH>
              <wp:positionV relativeFrom="paragraph">
                <wp:posOffset>19050</wp:posOffset>
              </wp:positionV>
              <wp:extent cx="4469765" cy="342900"/>
              <wp:effectExtent b="0" l="0" r="0" t="0"/>
              <wp:wrapNone/>
              <wp:docPr id="1072"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69765" cy="342900"/>
                      </a:xfrm>
                      <a:prstGeom prst="rect"/>
                      <a:ln/>
                    </pic:spPr>
                  </pic:pic>
                </a:graphicData>
              </a:graphic>
            </wp:anchor>
          </w:drawing>
        </mc:Fallback>
      </mc:AlternateContent>
    </w:r>
  </w:p>
  <w:p w:rsidR="00000000" w:rsidDel="00000000" w:rsidP="00000000" w:rsidRDefault="00000000" w:rsidRPr="00000000" w14:paraId="0000013A">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-114288</wp:posOffset>
          </wp:positionH>
          <wp:positionV relativeFrom="paragraph">
            <wp:posOffset>-361937</wp:posOffset>
          </wp:positionV>
          <wp:extent cx="6627495" cy="855980"/>
          <wp:effectExtent b="0" l="0" r="0" t="0"/>
          <wp:wrapNone/>
          <wp:docPr id="107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33">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34">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35">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36">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4"/>
      <w:numFmt w:val="upperLetter"/>
      <w:lvlText w:val="%1)"/>
      <w:lvlJc w:val="left"/>
      <w:pPr>
        <w:ind w:left="720" w:hanging="360"/>
      </w:pPr>
      <w:rPr>
        <w:b w:val="1"/>
        <w:bCs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MX"/>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table" w:styleId="TableNormal8"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uiPriority w:val="99"/>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9" w:customStyle="1">
    <w:name w:val="Table Normal"/>
    <w:next w:val="TableNormal8"/>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9"/>
    <w:tblPr>
      <w:tblStyleRowBandSize w:val="1"/>
      <w:tblStyleColBandSize w:val="1"/>
      <w:tblCellMar>
        <w:left w:w="115.0" w:type="dxa"/>
        <w:right w:w="115.0" w:type="dxa"/>
      </w:tblCellMar>
    </w:tblPr>
  </w:style>
  <w:style w:type="table" w:styleId="a0" w:customStyle="1">
    <w:basedOn w:val="TableNormal9"/>
    <w:tblPr>
      <w:tblStyleRowBandSize w:val="1"/>
      <w:tblStyleColBandSize w:val="1"/>
      <w:tblCellMar>
        <w:left w:w="108.0" w:type="dxa"/>
        <w:right w:w="108.0" w:type="dxa"/>
      </w:tblCellMar>
    </w:tblPr>
  </w:style>
  <w:style w:type="table" w:styleId="a1" w:customStyle="1">
    <w:basedOn w:val="TableNormal9"/>
    <w:tblPr>
      <w:tblStyleRowBandSize w:val="1"/>
      <w:tblStyleColBandSize w:val="1"/>
      <w:tblCellMar>
        <w:left w:w="115.0" w:type="dxa"/>
        <w:right w:w="115.0" w:type="dxa"/>
      </w:tblCellMar>
    </w:tblPr>
  </w:style>
  <w:style w:type="table" w:styleId="a2" w:customStyle="1">
    <w:basedOn w:val="TableNormal9"/>
    <w:tblPr>
      <w:tblStyleRowBandSize w:val="1"/>
      <w:tblStyleColBandSize w:val="1"/>
      <w:tblCellMar>
        <w:left w:w="115.0" w:type="dxa"/>
        <w:right w:w="115.0" w:type="dxa"/>
      </w:tblCellMar>
    </w:tblPr>
  </w:style>
  <w:style w:type="table" w:styleId="a3" w:customStyle="1">
    <w:basedOn w:val="TableNormal9"/>
    <w:tblPr>
      <w:tblStyleRowBandSize w:val="1"/>
      <w:tblStyleColBandSize w:val="1"/>
      <w:tblCellMar>
        <w:left w:w="108.0" w:type="dxa"/>
        <w:right w:w="108.0" w:type="dxa"/>
      </w:tblCellMar>
    </w:tblPr>
  </w:style>
  <w:style w:type="table" w:styleId="a4" w:customStyle="1">
    <w:basedOn w:val="TableNormal9"/>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7"/>
    <w:pPr>
      <w:ind w:hanging="1"/>
    </w:pPr>
    <w:tblPr>
      <w:tblStyleRowBandSize w:val="1"/>
      <w:tblStyleColBandSize w:val="1"/>
      <w:tblCellMar>
        <w:left w:w="115.0" w:type="dxa"/>
        <w:right w:w="115.0" w:type="dxa"/>
      </w:tblCellMar>
    </w:tblPr>
  </w:style>
  <w:style w:type="table" w:styleId="a6" w:customStyle="1">
    <w:basedOn w:val="TableNormal7"/>
    <w:pPr>
      <w:ind w:hanging="1"/>
    </w:pPr>
    <w:tblPr>
      <w:tblStyleRowBandSize w:val="1"/>
      <w:tblStyleColBandSize w:val="1"/>
      <w:tblCellMar>
        <w:left w:w="108.0" w:type="dxa"/>
        <w:right w:w="108.0" w:type="dxa"/>
      </w:tblCellMar>
    </w:tblPr>
  </w:style>
  <w:style w:type="table" w:styleId="a7" w:customStyle="1">
    <w:basedOn w:val="TableNormal7"/>
    <w:pPr>
      <w:ind w:hanging="1"/>
    </w:pPr>
    <w:tblPr>
      <w:tblStyleRowBandSize w:val="1"/>
      <w:tblStyleColBandSize w:val="1"/>
      <w:tblCellMar>
        <w:left w:w="115.0" w:type="dxa"/>
        <w:right w:w="115.0" w:type="dxa"/>
      </w:tblCellMar>
    </w:tblPr>
  </w:style>
  <w:style w:type="table" w:styleId="a8" w:customStyle="1">
    <w:basedOn w:val="TableNormal6"/>
    <w:pPr>
      <w:ind w:hanging="1"/>
    </w:pPr>
    <w:tblPr>
      <w:tblStyleRowBandSize w:val="1"/>
      <w:tblStyleColBandSize w:val="1"/>
      <w:tblCellMar>
        <w:left w:w="115.0" w:type="dxa"/>
        <w:right w:w="115.0" w:type="dxa"/>
      </w:tblCellMar>
    </w:tblPr>
  </w:style>
  <w:style w:type="table" w:styleId="a9" w:customStyle="1">
    <w:basedOn w:val="TableNormal6"/>
    <w:pPr>
      <w:ind w:hanging="1"/>
    </w:pPr>
    <w:tblPr>
      <w:tblStyleRowBandSize w:val="1"/>
      <w:tblStyleColBandSize w:val="1"/>
      <w:tblCellMar>
        <w:left w:w="108.0" w:type="dxa"/>
        <w:right w:w="108.0" w:type="dxa"/>
      </w:tblCellMar>
    </w:tblPr>
  </w:style>
  <w:style w:type="table" w:styleId="aa" w:customStyle="1">
    <w:basedOn w:val="TableNormal6"/>
    <w:pPr>
      <w:ind w:hanging="1"/>
    </w:pPr>
    <w:tblPr>
      <w:tblStyleRowBandSize w:val="1"/>
      <w:tblStyleColBandSize w:val="1"/>
      <w:tblCellMar>
        <w:left w:w="115.0" w:type="dxa"/>
        <w:right w:w="115.0" w:type="dxa"/>
      </w:tblCellMar>
    </w:tblPr>
  </w:style>
  <w:style w:type="table" w:styleId="ab" w:customStyle="1">
    <w:basedOn w:val="TableNormal6"/>
    <w:pPr>
      <w:ind w:hanging="1"/>
    </w:pPr>
    <w:tblPr>
      <w:tblStyleRowBandSize w:val="1"/>
      <w:tblStyleColBandSize w:val="1"/>
      <w:tblCellMar>
        <w:left w:w="115.0" w:type="dxa"/>
        <w:right w:w="115.0" w:type="dxa"/>
      </w:tblCellMar>
    </w:tblPr>
  </w:style>
  <w:style w:type="table" w:styleId="ac" w:customStyle="1">
    <w:basedOn w:val="TableNormal6"/>
    <w:pPr>
      <w:ind w:hanging="1"/>
    </w:pPr>
    <w:tblPr>
      <w:tblStyleRowBandSize w:val="1"/>
      <w:tblStyleColBandSize w:val="1"/>
      <w:tblCellMar>
        <w:left w:w="108.0" w:type="dxa"/>
        <w:right w:w="108.0" w:type="dxa"/>
      </w:tblCellMar>
    </w:tblPr>
  </w:style>
  <w:style w:type="table" w:styleId="ad" w:customStyle="1">
    <w:basedOn w:val="TableNormal6"/>
    <w:pPr>
      <w:ind w:hanging="1"/>
    </w:pPr>
    <w:tblPr>
      <w:tblStyleRowBandSize w:val="1"/>
      <w:tblStyleColBandSize w:val="1"/>
      <w:tblCellMar>
        <w:left w:w="115.0" w:type="dxa"/>
        <w:right w:w="115.0" w:type="dxa"/>
      </w:tblCellMar>
    </w:tblPr>
  </w:style>
  <w:style w:type="table" w:styleId="ae" w:customStyle="1">
    <w:basedOn w:val="TableNormal6"/>
    <w:pPr>
      <w:ind w:hanging="1"/>
    </w:pPr>
    <w:tblPr>
      <w:tblStyleRowBandSize w:val="1"/>
      <w:tblStyleColBandSize w:val="1"/>
      <w:tblCellMar>
        <w:left w:w="115.0" w:type="dxa"/>
        <w:right w:w="115.0" w:type="dxa"/>
      </w:tblCellMar>
    </w:tblPr>
  </w:style>
  <w:style w:type="table" w:styleId="af" w:customStyle="1">
    <w:basedOn w:val="TableNormal6"/>
    <w:pPr>
      <w:ind w:hanging="1"/>
    </w:pPr>
    <w:tblPr>
      <w:tblStyleRowBandSize w:val="1"/>
      <w:tblStyleColBandSize w:val="1"/>
      <w:tblCellMar>
        <w:left w:w="108.0" w:type="dxa"/>
        <w:right w:w="108.0" w:type="dxa"/>
      </w:tblCellMar>
    </w:tblPr>
  </w:style>
  <w:style w:type="table" w:styleId="af0" w:customStyle="1">
    <w:basedOn w:val="TableNormal6"/>
    <w:pPr>
      <w:ind w:hanging="1"/>
    </w:pPr>
    <w:tblPr>
      <w:tblStyleRowBandSize w:val="1"/>
      <w:tblStyleColBandSize w:val="1"/>
      <w:tblCellMar>
        <w:left w:w="115.0" w:type="dxa"/>
        <w:right w:w="115.0" w:type="dxa"/>
      </w:tblCellMar>
    </w:tblPr>
  </w:style>
  <w:style w:type="table" w:styleId="af1" w:customStyle="1">
    <w:basedOn w:val="TableNormal6"/>
    <w:pPr>
      <w:ind w:hanging="1"/>
    </w:pPr>
    <w:tblPr>
      <w:tblStyleRowBandSize w:val="1"/>
      <w:tblStyleColBandSize w:val="1"/>
      <w:tblCellMar>
        <w:left w:w="115.0" w:type="dxa"/>
        <w:right w:w="115.0" w:type="dxa"/>
      </w:tblCellMar>
    </w:tblPr>
  </w:style>
  <w:style w:type="table" w:styleId="af2" w:customStyle="1">
    <w:basedOn w:val="TableNormal6"/>
    <w:pPr>
      <w:ind w:hanging="1"/>
    </w:pPr>
    <w:tblPr>
      <w:tblStyleRowBandSize w:val="1"/>
      <w:tblStyleColBandSize w:val="1"/>
      <w:tblCellMar>
        <w:left w:w="108.0" w:type="dxa"/>
        <w:right w:w="108.0" w:type="dxa"/>
      </w:tblCellMar>
    </w:tblPr>
  </w:style>
  <w:style w:type="table" w:styleId="af3" w:customStyle="1">
    <w:basedOn w:val="TableNormal6"/>
    <w:pPr>
      <w:ind w:hanging="1"/>
    </w:pPr>
    <w:tblPr>
      <w:tblStyleRowBandSize w:val="1"/>
      <w:tblStyleColBandSize w:val="1"/>
      <w:tblCellMar>
        <w:left w:w="115.0" w:type="dxa"/>
        <w:right w:w="115.0" w:type="dxa"/>
      </w:tblCellMar>
    </w:tblPr>
  </w:style>
  <w:style w:type="table" w:styleId="af4" w:customStyle="1">
    <w:basedOn w:val="TableNormal6"/>
    <w:pPr>
      <w:ind w:hanging="1"/>
    </w:pPr>
    <w:tblPr>
      <w:tblStyleRowBandSize w:val="1"/>
      <w:tblStyleColBandSize w:val="1"/>
      <w:tblCellMar>
        <w:left w:w="115.0" w:type="dxa"/>
        <w:right w:w="115.0" w:type="dxa"/>
      </w:tblCellMar>
    </w:tblPr>
  </w:style>
  <w:style w:type="table" w:styleId="af5" w:customStyle="1">
    <w:basedOn w:val="TableNormal6"/>
    <w:tblPr>
      <w:tblStyleRowBandSize w:val="1"/>
      <w:tblStyleColBandSize w:val="1"/>
    </w:tblPr>
  </w:style>
  <w:style w:type="table" w:styleId="af6" w:customStyle="1">
    <w:basedOn w:val="TableNormal6"/>
    <w:tblPr>
      <w:tblStyleRowBandSize w:val="1"/>
      <w:tblStyleColBandSize w:val="1"/>
    </w:tblPr>
  </w:style>
  <w:style w:type="table" w:styleId="af7" w:customStyle="1">
    <w:basedOn w:val="TableNormal6"/>
    <w:tblPr>
      <w:tblStyleRowBandSize w:val="1"/>
      <w:tblStyleColBandSize w:val="1"/>
    </w:tblPr>
  </w:style>
  <w:style w:type="table" w:styleId="af8" w:customStyle="1">
    <w:basedOn w:val="TableNormal6"/>
    <w:pPr>
      <w:ind w:hanging="1"/>
    </w:pPr>
    <w:tblPr>
      <w:tblStyleRowBandSize w:val="1"/>
      <w:tblStyleColBandSize w:val="1"/>
      <w:tblCellMar>
        <w:left w:w="115.0" w:type="dxa"/>
        <w:right w:w="115.0" w:type="dxa"/>
      </w:tblCellMar>
    </w:tblPr>
  </w:style>
  <w:style w:type="table" w:styleId="af9" w:customStyle="1">
    <w:basedOn w:val="TableNormal6"/>
    <w:pPr>
      <w:ind w:hanging="1"/>
    </w:pPr>
    <w:tblPr>
      <w:tblStyleRowBandSize w:val="1"/>
      <w:tblStyleColBandSize w:val="1"/>
      <w:tblCellMar>
        <w:left w:w="115.0" w:type="dxa"/>
        <w:right w:w="115.0" w:type="dxa"/>
      </w:tblCellMar>
    </w:tblPr>
  </w:style>
  <w:style w:type="table" w:styleId="afa" w:customStyle="1">
    <w:basedOn w:val="TableNormal6"/>
    <w:tblPr>
      <w:tblStyleRowBandSize w:val="1"/>
      <w:tblStyleColBandSize w:val="1"/>
    </w:tblPr>
  </w:style>
  <w:style w:type="table" w:styleId="afb" w:customStyle="1">
    <w:basedOn w:val="TableNormal6"/>
    <w:tblPr>
      <w:tblStyleRowBandSize w:val="1"/>
      <w:tblStyleColBandSize w:val="1"/>
    </w:tblPr>
  </w:style>
  <w:style w:type="table" w:styleId="afc" w:customStyle="1">
    <w:basedOn w:val="TableNormal6"/>
    <w:tblPr>
      <w:tblStyleRowBandSize w:val="1"/>
      <w:tblStyleColBandSize w:val="1"/>
    </w:tblPr>
  </w:style>
  <w:style w:type="table" w:styleId="afd" w:customStyle="1">
    <w:basedOn w:val="TableNormal6"/>
    <w:tblPr>
      <w:tblStyleRowBandSize w:val="1"/>
      <w:tblStyleColBandSize w:val="1"/>
    </w:tblPr>
  </w:style>
  <w:style w:type="table" w:styleId="afe" w:customStyle="1">
    <w:basedOn w:val="TableNormal6"/>
    <w:pPr>
      <w:ind w:hanging="1"/>
    </w:pPr>
    <w:tblPr>
      <w:tblStyleRowBandSize w:val="1"/>
      <w:tblStyleColBandSize w:val="1"/>
      <w:tblCellMar>
        <w:left w:w="115.0" w:type="dxa"/>
        <w:right w:w="115.0" w:type="dxa"/>
      </w:tblCellMar>
    </w:tblPr>
  </w:style>
  <w:style w:type="table" w:styleId="aff" w:customStyle="1">
    <w:basedOn w:val="TableNormal6"/>
    <w:pPr>
      <w:ind w:hanging="1"/>
    </w:pPr>
    <w:tblPr>
      <w:tblStyleRowBandSize w:val="1"/>
      <w:tblStyleColBandSize w:val="1"/>
      <w:tblCellMar>
        <w:left w:w="115.0" w:type="dxa"/>
        <w:right w:w="115.0" w:type="dxa"/>
      </w:tblCellMar>
    </w:tblPr>
  </w:style>
  <w:style w:type="table" w:styleId="aff0" w:customStyle="1">
    <w:basedOn w:val="TableNormal6"/>
    <w:tblPr>
      <w:tblStyleRowBandSize w:val="1"/>
      <w:tblStyleColBandSize w:val="1"/>
    </w:tblPr>
  </w:style>
  <w:style w:type="table" w:styleId="aff1" w:customStyle="1">
    <w:basedOn w:val="TableNormal6"/>
    <w:tblPr>
      <w:tblStyleRowBandSize w:val="1"/>
      <w:tblStyleColBandSize w:val="1"/>
    </w:tblPr>
  </w:style>
  <w:style w:type="table" w:styleId="aff2" w:customStyle="1">
    <w:basedOn w:val="TableNormal6"/>
    <w:tblPr>
      <w:tblStyleRowBandSize w:val="1"/>
      <w:tblStyleColBandSize w:val="1"/>
    </w:tblPr>
  </w:style>
  <w:style w:type="table" w:styleId="aff3" w:customStyle="1">
    <w:basedOn w:val="TableNormal6"/>
    <w:tblPr>
      <w:tblStyleRowBandSize w:val="1"/>
      <w:tblStyleColBandSize w:val="1"/>
    </w:tblPr>
  </w:style>
  <w:style w:type="table" w:styleId="aff4" w:customStyle="1">
    <w:basedOn w:val="TableNormal6"/>
    <w:pPr>
      <w:ind w:hanging="1"/>
    </w:pPr>
    <w:tblPr>
      <w:tblStyleRowBandSize w:val="1"/>
      <w:tblStyleColBandSize w:val="1"/>
      <w:tblCellMar>
        <w:left w:w="115.0" w:type="dxa"/>
        <w:right w:w="115.0" w:type="dxa"/>
      </w:tblCellMar>
    </w:tblPr>
  </w:style>
  <w:style w:type="character" w:styleId="Hipervnculo">
    <w:name w:val="Hyperlink"/>
    <w:basedOn w:val="Fuentedeprrafopredeter"/>
    <w:uiPriority w:val="99"/>
    <w:unhideWhenUsed w:val="1"/>
    <w:rsid w:val="00A35B78"/>
    <w:rPr>
      <w:color w:val="0000ff"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CellMar/>
    </w:tblPr>
  </w:style>
  <w:style w:type="table" w:styleId="Table5">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4" Type="http://schemas.openxmlformats.org/officeDocument/2006/relationships/font" Target="fonts/MontserratLight-boldItalic.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JRHLbasCfmJp5eZCjE7BnIo5mQ==">CgMxLjAaHwoBMBIaChgICVIUChJ0YWJsZS5xc3Y4dXU2OGlmb2YyCGguZ2pkZ3hz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OAByITF3MWhvd0ZxVVNxWjY1Ri1YZWFKeWhZc05XNXBxNFlp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2025-10-28T18:09:00Z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